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FB" w:rsidRDefault="00E65BC0" w:rsidP="00E65B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 по основным показателям прогноза социально-экономического развития  муниципальн</w:t>
      </w:r>
      <w:r w:rsidR="003E5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образования </w:t>
      </w:r>
    </w:p>
    <w:p w:rsidR="00E65BC0" w:rsidRPr="00E65BC0" w:rsidRDefault="003E5DFB" w:rsidP="00E65B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«Смоленский муниципальный округ</w:t>
      </w:r>
      <w:r w:rsidR="00E65BC0" w:rsidRPr="00E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Смоленской области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65BC0" w:rsidRPr="00E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65BC0" w:rsidRPr="00E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65BC0" w:rsidRPr="00E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E65BC0" w:rsidRPr="00E65BC0" w:rsidRDefault="00E65BC0" w:rsidP="00E65BC0">
      <w:pPr>
        <w:spacing w:after="0" w:line="240" w:lineRule="auto"/>
        <w:ind w:left="2160"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5BC0" w:rsidRPr="00E65BC0" w:rsidRDefault="00E65BC0" w:rsidP="00E6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Прогноз социально-экономического развития муниципального образования «Смоленский 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округ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Смоленской области на 202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и на плановый период 202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202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годов разработан на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одобренных Правительством Российской Федерации сценарных условий функционирования экономики Российской Федерации, основных параметров прогноза социально-экономического развития Смоленской области на 202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на 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плановый период 202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202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годов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прогноза индексов-дефляторов цен Минэкономразвития России, мониторинга показателей развития</w:t>
      </w:r>
      <w:proofErr w:type="gramEnd"/>
      <w:r w:rsidRPr="00E6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за прошедший период и 5 месяцев 202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а также анализа складывающейся социально-экономической ситуации в секторах экономики 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E65BC0" w:rsidRPr="00E65BC0" w:rsidRDefault="00E65BC0" w:rsidP="00E6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разработке среднесрочного прогноза использованы материалы, представленные территориальным органом Федеральной службы государственной  статистики по Смоленской области, налоговой службой, а также  предприятий и организаций, расположенных на территории 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BC0" w:rsidRPr="00E65BC0" w:rsidRDefault="00E65BC0" w:rsidP="00E6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прогноза на местном уровне ограничиваются, в основном, вопросами выполнения обязательств по содержанию объектов социальной сферы и муниципального хозяйства, решением наиболее острых первоочередных социальных вопросов и поступающих наказов.</w:t>
      </w:r>
    </w:p>
    <w:p w:rsidR="00E65BC0" w:rsidRPr="00E65BC0" w:rsidRDefault="00E65BC0" w:rsidP="00E6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Конечной целью социально-экономического развития муниципального образования является улучшение качества жизни населения.</w:t>
      </w:r>
    </w:p>
    <w:p w:rsidR="00E65BC0" w:rsidRPr="00E65BC0" w:rsidRDefault="00E65BC0" w:rsidP="00E65B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65BC0" w:rsidRPr="00E65BC0" w:rsidRDefault="00E65BC0" w:rsidP="00E65B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ДЕМОГРАФИЧЕСКАЯ СИТУАЦИЯ</w:t>
      </w:r>
    </w:p>
    <w:p w:rsidR="00E65BC0" w:rsidRPr="00E65BC0" w:rsidRDefault="00E65BC0" w:rsidP="00E6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202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году среднегодовая численность  постоянного населения Смоленского 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округ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 составила 61,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614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тыс. человек. </w:t>
      </w:r>
    </w:p>
    <w:p w:rsidR="00E65BC0" w:rsidRPr="00E65BC0" w:rsidRDefault="00E65BC0" w:rsidP="00E6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Главной задачей в сфере демографии по-прежнему остается снижение темпов естественной убыли населения. На её решение по-прежнему будут направлены мероприятия по созданию благоприятных условий для повышения рождаемости, улучшению положения семей с детьми, сокращению уровня смертности, а также сохранению и укреплению здоровья населения, регулированию внутренней и внешней миграции.</w:t>
      </w:r>
    </w:p>
    <w:p w:rsidR="00E65BC0" w:rsidRPr="00E65BC0" w:rsidRDefault="00E65BC0" w:rsidP="00E6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Росту рождаемости и снижению смертности будет способствовать модернизация системы здравоохранения, в рамках которой продолжится оснащение медицинских учреждений современным оборудованием.</w:t>
      </w:r>
    </w:p>
    <w:p w:rsidR="00E65BC0" w:rsidRPr="00E65BC0" w:rsidRDefault="00E65BC0" w:rsidP="00E6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стабилизацию демографической ситуации в Смоленской области будут направлены мероприятия по формированию здорового образа жизни, а также дополнительные меры поддержки семей, имеющих детей (сертификаты на материнский (семейный) капитал). </w:t>
      </w:r>
    </w:p>
    <w:p w:rsidR="00E65BC0" w:rsidRPr="00E65BC0" w:rsidRDefault="00E65BC0" w:rsidP="00E6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Ожидается рост коэффициента рождаемости. Так, к 202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году по сравнению с 202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годом коэффициент рождаемости увеличится с 6,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 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6,4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родившихся на 1000 человек населения.</w:t>
      </w:r>
    </w:p>
    <w:p w:rsidR="00E65BC0" w:rsidRPr="00E65BC0" w:rsidRDefault="00E65BC0" w:rsidP="00E65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Общий коэффициент смертности снизится с 12,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 в 2025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году до 12,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человек в 202</w:t>
      </w:r>
      <w:r w:rsidR="003E5D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  <w:r w:rsidRPr="00E65B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году на 1000 населения. </w:t>
      </w:r>
    </w:p>
    <w:p w:rsidR="001C1BFD" w:rsidRDefault="00E65BC0" w:rsidP="00E65BC0">
      <w:pPr>
        <w:ind w:firstLine="567"/>
      </w:pPr>
      <w:r>
        <w:rPr>
          <w:noProof/>
          <w:lang w:eastAsia="ru-RU"/>
        </w:rPr>
        <w:drawing>
          <wp:inline distT="0" distB="0" distL="0" distR="0" wp14:anchorId="22BE56AF" wp14:editId="7B104951">
            <wp:extent cx="6172200" cy="39147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C1BFD" w:rsidRPr="00154B2B" w:rsidRDefault="001C1BFD" w:rsidP="001C1BFD">
      <w:pPr>
        <w:pStyle w:val="a5"/>
        <w:ind w:firstLine="567"/>
        <w:rPr>
          <w:color w:val="000000"/>
        </w:rPr>
      </w:pPr>
      <w:r w:rsidRPr="00154B2B">
        <w:rPr>
          <w:color w:val="000000"/>
        </w:rPr>
        <w:t xml:space="preserve">Существенным фактором влияния на демографическую ситуацию в </w:t>
      </w:r>
      <w:r w:rsidR="003E5DFB">
        <w:rPr>
          <w:color w:val="000000"/>
        </w:rPr>
        <w:t>округ</w:t>
      </w:r>
      <w:r w:rsidRPr="00154B2B">
        <w:rPr>
          <w:color w:val="000000"/>
        </w:rPr>
        <w:t xml:space="preserve">е становится миграционный прирост населения. </w:t>
      </w:r>
    </w:p>
    <w:p w:rsidR="001C1BFD" w:rsidRDefault="001C1BFD" w:rsidP="001C1BFD">
      <w:pPr>
        <w:pStyle w:val="a5"/>
        <w:ind w:firstLine="567"/>
        <w:rPr>
          <w:color w:val="000000"/>
        </w:rPr>
      </w:pPr>
      <w:r w:rsidRPr="00154B2B">
        <w:rPr>
          <w:color w:val="000000"/>
        </w:rPr>
        <w:t xml:space="preserve">В результате совокупного влияния вышеперечисленных факторов наметится рост численности населения Смоленского </w:t>
      </w:r>
      <w:r w:rsidR="003E5DFB">
        <w:rPr>
          <w:color w:val="000000"/>
        </w:rPr>
        <w:t>муниципальный округ</w:t>
      </w:r>
      <w:r w:rsidRPr="00154B2B">
        <w:rPr>
          <w:color w:val="000000"/>
        </w:rPr>
        <w:t xml:space="preserve">а. </w:t>
      </w:r>
      <w:proofErr w:type="gramStart"/>
      <w:r w:rsidRPr="00154B2B">
        <w:rPr>
          <w:color w:val="000000"/>
        </w:rPr>
        <w:t>Среднегодовая численность  населения составит: в 20</w:t>
      </w:r>
      <w:r>
        <w:rPr>
          <w:color w:val="000000"/>
        </w:rPr>
        <w:t>2</w:t>
      </w:r>
      <w:r w:rsidR="003E5DFB">
        <w:rPr>
          <w:color w:val="000000"/>
        </w:rPr>
        <w:t>6</w:t>
      </w:r>
      <w:r w:rsidRPr="00154B2B">
        <w:rPr>
          <w:color w:val="000000"/>
        </w:rPr>
        <w:t xml:space="preserve"> году – </w:t>
      </w:r>
      <w:r w:rsidR="003E5DFB">
        <w:rPr>
          <w:color w:val="000000"/>
        </w:rPr>
        <w:t>62,665</w:t>
      </w:r>
      <w:r w:rsidRPr="00154B2B">
        <w:rPr>
          <w:color w:val="000000"/>
        </w:rPr>
        <w:t xml:space="preserve"> тыс. человек, в 20</w:t>
      </w:r>
      <w:r>
        <w:rPr>
          <w:color w:val="000000"/>
        </w:rPr>
        <w:t>2</w:t>
      </w:r>
      <w:r w:rsidR="003E5DFB">
        <w:rPr>
          <w:color w:val="000000"/>
        </w:rPr>
        <w:t>7</w:t>
      </w:r>
      <w:r w:rsidRPr="00154B2B">
        <w:rPr>
          <w:color w:val="000000"/>
        </w:rPr>
        <w:t xml:space="preserve"> году – </w:t>
      </w:r>
      <w:r w:rsidR="003E5DFB">
        <w:rPr>
          <w:color w:val="000000"/>
        </w:rPr>
        <w:t>63,197</w:t>
      </w:r>
      <w:r w:rsidRPr="00154B2B">
        <w:rPr>
          <w:color w:val="000000"/>
        </w:rPr>
        <w:t xml:space="preserve"> тыс. человек, в 20</w:t>
      </w:r>
      <w:r>
        <w:rPr>
          <w:color w:val="000000"/>
        </w:rPr>
        <w:t>2</w:t>
      </w:r>
      <w:r w:rsidR="003E5DFB">
        <w:rPr>
          <w:color w:val="000000"/>
        </w:rPr>
        <w:t>8</w:t>
      </w:r>
      <w:r w:rsidRPr="00154B2B">
        <w:rPr>
          <w:color w:val="000000"/>
        </w:rPr>
        <w:t xml:space="preserve"> году – </w:t>
      </w:r>
      <w:r w:rsidR="003E5DFB">
        <w:rPr>
          <w:color w:val="000000"/>
        </w:rPr>
        <w:t>63,734</w:t>
      </w:r>
      <w:r w:rsidRPr="00154B2B">
        <w:rPr>
          <w:color w:val="000000"/>
        </w:rPr>
        <w:t xml:space="preserve"> тыс. человек. </w:t>
      </w:r>
      <w:proofErr w:type="gramEnd"/>
    </w:p>
    <w:p w:rsidR="00CB71DC" w:rsidRPr="00154B2B" w:rsidRDefault="00CB71DC" w:rsidP="001C1BFD">
      <w:pPr>
        <w:pStyle w:val="a5"/>
        <w:ind w:firstLine="567"/>
        <w:rPr>
          <w:color w:val="000000"/>
        </w:rPr>
      </w:pPr>
    </w:p>
    <w:p w:rsidR="00CB71DC" w:rsidRDefault="001C1BFD" w:rsidP="001C1BFD">
      <w:pPr>
        <w:tabs>
          <w:tab w:val="left" w:pos="1485"/>
        </w:tabs>
      </w:pPr>
      <w:r w:rsidRPr="00EC3C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2F10ED" wp14:editId="2AA93EB9">
            <wp:extent cx="6524625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2526A" w:rsidRDefault="00CB71DC" w:rsidP="00CB71DC">
      <w:pPr>
        <w:tabs>
          <w:tab w:val="left" w:pos="945"/>
        </w:tabs>
      </w:pPr>
      <w:r>
        <w:tab/>
      </w:r>
    </w:p>
    <w:p w:rsidR="00CB71DC" w:rsidRDefault="00CB71DC" w:rsidP="00CB71DC">
      <w:pPr>
        <w:tabs>
          <w:tab w:val="left" w:pos="945"/>
        </w:tabs>
      </w:pPr>
    </w:p>
    <w:p w:rsidR="00CB71DC" w:rsidRPr="00CB71DC" w:rsidRDefault="00CB71DC" w:rsidP="00CB71D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</w:rPr>
      </w:pPr>
      <w:r w:rsidRPr="00CB71DC">
        <w:rPr>
          <w:rFonts w:ascii="Times New Roman" w:hAnsi="Times New Roman" w:cs="Times New Roman"/>
          <w:color w:val="000000"/>
          <w:sz w:val="28"/>
        </w:rPr>
        <w:t>ПРОМЫШЛЕННОЕ ПРОИЗВОДСТВО</w:t>
      </w:r>
    </w:p>
    <w:p w:rsidR="00CB71DC" w:rsidRDefault="00CB71DC" w:rsidP="00421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B71DC">
        <w:rPr>
          <w:rFonts w:ascii="Times New Roman" w:hAnsi="Times New Roman" w:cs="Times New Roman"/>
          <w:color w:val="000000"/>
          <w:sz w:val="28"/>
        </w:rPr>
        <w:t xml:space="preserve">В соответствии с прогнозом объем отгруженных товаров собственного производства, выполненных работ и услуг организациями Смоленского </w:t>
      </w:r>
      <w:r w:rsidR="003E5DFB">
        <w:rPr>
          <w:rFonts w:ascii="Times New Roman" w:hAnsi="Times New Roman" w:cs="Times New Roman"/>
          <w:color w:val="000000"/>
          <w:sz w:val="28"/>
        </w:rPr>
        <w:t>муниципальный округ</w:t>
      </w:r>
      <w:r w:rsidRPr="00CB71DC">
        <w:rPr>
          <w:rFonts w:ascii="Times New Roman" w:hAnsi="Times New Roman" w:cs="Times New Roman"/>
          <w:color w:val="000000"/>
          <w:sz w:val="28"/>
        </w:rPr>
        <w:t>а (разделы</w:t>
      </w:r>
      <w:proofErr w:type="gramStart"/>
      <w:r w:rsidRPr="00CB71DC">
        <w:rPr>
          <w:rFonts w:ascii="Times New Roman" w:hAnsi="Times New Roman" w:cs="Times New Roman"/>
          <w:color w:val="000000"/>
          <w:sz w:val="28"/>
        </w:rPr>
        <w:t xml:space="preserve"> В</w:t>
      </w:r>
      <w:proofErr w:type="gramEnd"/>
      <w:r w:rsidRPr="00CB71DC">
        <w:rPr>
          <w:rFonts w:ascii="Times New Roman" w:hAnsi="Times New Roman" w:cs="Times New Roman"/>
          <w:color w:val="000000"/>
          <w:sz w:val="28"/>
        </w:rPr>
        <w:t>+С+</w:t>
      </w:r>
      <w:r w:rsidRPr="00CB71DC">
        <w:rPr>
          <w:rFonts w:ascii="Times New Roman" w:hAnsi="Times New Roman" w:cs="Times New Roman"/>
          <w:color w:val="000000"/>
          <w:sz w:val="28"/>
          <w:lang w:val="en-US"/>
        </w:rPr>
        <w:t>D</w:t>
      </w:r>
      <w:r w:rsidRPr="00CB71DC">
        <w:rPr>
          <w:rFonts w:ascii="Times New Roman" w:hAnsi="Times New Roman" w:cs="Times New Roman"/>
          <w:color w:val="000000"/>
          <w:sz w:val="28"/>
        </w:rPr>
        <w:t>+Е ОКВЭД) в 202</w:t>
      </w:r>
      <w:r w:rsidR="009316EE">
        <w:rPr>
          <w:rFonts w:ascii="Times New Roman" w:hAnsi="Times New Roman" w:cs="Times New Roman"/>
          <w:color w:val="000000"/>
          <w:sz w:val="28"/>
        </w:rPr>
        <w:t>6</w:t>
      </w:r>
      <w:r w:rsidRPr="00CB71DC">
        <w:rPr>
          <w:rFonts w:ascii="Times New Roman" w:hAnsi="Times New Roman" w:cs="Times New Roman"/>
          <w:color w:val="000000"/>
          <w:sz w:val="28"/>
        </w:rPr>
        <w:t xml:space="preserve"> году составит </w:t>
      </w:r>
      <w:r w:rsidR="009316EE">
        <w:rPr>
          <w:rFonts w:ascii="Times New Roman" w:hAnsi="Times New Roman" w:cs="Times New Roman"/>
          <w:color w:val="000000"/>
          <w:sz w:val="28"/>
        </w:rPr>
        <w:t>6 673,6</w:t>
      </w:r>
      <w:r w:rsidRPr="00CB71DC">
        <w:rPr>
          <w:rFonts w:ascii="Times New Roman" w:hAnsi="Times New Roman" w:cs="Times New Roman"/>
          <w:color w:val="000000"/>
          <w:sz w:val="28"/>
        </w:rPr>
        <w:t xml:space="preserve"> млн. рублей, в 202</w:t>
      </w:r>
      <w:r w:rsidR="009316EE">
        <w:rPr>
          <w:rFonts w:ascii="Times New Roman" w:hAnsi="Times New Roman" w:cs="Times New Roman"/>
          <w:color w:val="000000"/>
          <w:sz w:val="28"/>
        </w:rPr>
        <w:t>7</w:t>
      </w:r>
      <w:r w:rsidRPr="00CB71DC">
        <w:rPr>
          <w:rFonts w:ascii="Times New Roman" w:hAnsi="Times New Roman" w:cs="Times New Roman"/>
          <w:color w:val="000000"/>
          <w:sz w:val="28"/>
        </w:rPr>
        <w:t xml:space="preserve"> году – </w:t>
      </w:r>
      <w:r w:rsidR="009316EE">
        <w:rPr>
          <w:rFonts w:ascii="Times New Roman" w:hAnsi="Times New Roman" w:cs="Times New Roman"/>
          <w:color w:val="000000"/>
          <w:sz w:val="28"/>
        </w:rPr>
        <w:t>7 572,9</w:t>
      </w:r>
      <w:r w:rsidRPr="00CB71DC">
        <w:rPr>
          <w:rFonts w:ascii="Times New Roman" w:hAnsi="Times New Roman" w:cs="Times New Roman"/>
          <w:color w:val="000000"/>
          <w:sz w:val="28"/>
        </w:rPr>
        <w:t xml:space="preserve"> млн. рублей, в 202</w:t>
      </w:r>
      <w:r w:rsidR="009316EE">
        <w:rPr>
          <w:rFonts w:ascii="Times New Roman" w:hAnsi="Times New Roman" w:cs="Times New Roman"/>
          <w:color w:val="000000"/>
          <w:sz w:val="28"/>
        </w:rPr>
        <w:t>8</w:t>
      </w:r>
      <w:r w:rsidRPr="00CB71DC">
        <w:rPr>
          <w:rFonts w:ascii="Times New Roman" w:hAnsi="Times New Roman" w:cs="Times New Roman"/>
          <w:color w:val="000000"/>
          <w:sz w:val="28"/>
        </w:rPr>
        <w:t xml:space="preserve"> году – </w:t>
      </w:r>
      <w:r w:rsidR="009316EE">
        <w:rPr>
          <w:rFonts w:ascii="Times New Roman" w:hAnsi="Times New Roman" w:cs="Times New Roman"/>
          <w:color w:val="000000"/>
          <w:sz w:val="28"/>
        </w:rPr>
        <w:t>8 50,0</w:t>
      </w:r>
      <w:r w:rsidRPr="00CB71DC">
        <w:rPr>
          <w:rFonts w:ascii="Times New Roman" w:hAnsi="Times New Roman" w:cs="Times New Roman"/>
          <w:color w:val="000000"/>
          <w:sz w:val="28"/>
        </w:rPr>
        <w:t xml:space="preserve"> млн. рублей.</w:t>
      </w:r>
    </w:p>
    <w:p w:rsidR="00CB71DC" w:rsidRPr="00CB71DC" w:rsidRDefault="00CB71DC" w:rsidP="00CB71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3A32D5B" wp14:editId="160FD3A7">
            <wp:extent cx="6505575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14A7" w:rsidRDefault="004214A7" w:rsidP="004214A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14A7" w:rsidRDefault="004214A7" w:rsidP="004214A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4A7">
        <w:rPr>
          <w:rFonts w:ascii="Times New Roman" w:hAnsi="Times New Roman" w:cs="Times New Roman"/>
          <w:color w:val="000000"/>
          <w:sz w:val="28"/>
          <w:szCs w:val="28"/>
        </w:rPr>
        <w:t>Индекс промышленного производства составит: в 202</w:t>
      </w:r>
      <w:r w:rsidR="009316E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9316EE">
        <w:rPr>
          <w:rFonts w:ascii="Times New Roman" w:hAnsi="Times New Roman" w:cs="Times New Roman"/>
          <w:color w:val="000000"/>
          <w:sz w:val="28"/>
          <w:szCs w:val="28"/>
        </w:rPr>
        <w:t>107,0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процентов, 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16E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9316EE">
        <w:rPr>
          <w:rFonts w:ascii="Times New Roman" w:hAnsi="Times New Roman" w:cs="Times New Roman"/>
          <w:color w:val="000000"/>
          <w:sz w:val="28"/>
          <w:szCs w:val="28"/>
        </w:rPr>
        <w:t>112,5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 xml:space="preserve">  процентов, в 202</w:t>
      </w:r>
      <w:r w:rsidR="009316E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9316EE">
        <w:rPr>
          <w:rFonts w:ascii="Times New Roman" w:hAnsi="Times New Roman" w:cs="Times New Roman"/>
          <w:color w:val="000000"/>
          <w:sz w:val="28"/>
          <w:szCs w:val="28"/>
        </w:rPr>
        <w:t>113,2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процентов.</w:t>
      </w:r>
    </w:p>
    <w:p w:rsidR="004214A7" w:rsidRPr="004214A7" w:rsidRDefault="004214A7" w:rsidP="004214A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4A7">
        <w:rPr>
          <w:rFonts w:ascii="Times New Roman" w:hAnsi="Times New Roman" w:cs="Times New Roman"/>
          <w:color w:val="000000"/>
          <w:sz w:val="28"/>
          <w:szCs w:val="28"/>
        </w:rPr>
        <w:t>В структуре производства в 202</w:t>
      </w:r>
      <w:r w:rsidR="009316E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 xml:space="preserve"> году основная доля (</w:t>
      </w:r>
      <w:r w:rsidR="009316EE">
        <w:rPr>
          <w:rFonts w:ascii="Times New Roman" w:hAnsi="Times New Roman" w:cs="Times New Roman"/>
          <w:color w:val="000000"/>
          <w:sz w:val="28"/>
          <w:szCs w:val="28"/>
        </w:rPr>
        <w:t>92,7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процентов) будет приходиться на обрабатывающие производства,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оля добычи полезных ископаемых 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 xml:space="preserve">будет составлять </w:t>
      </w:r>
      <w:r w:rsidR="009316EE">
        <w:rPr>
          <w:rFonts w:ascii="Times New Roman" w:hAnsi="Times New Roman" w:cs="Times New Roman"/>
          <w:color w:val="000000"/>
          <w:sz w:val="28"/>
          <w:szCs w:val="28"/>
        </w:rPr>
        <w:t xml:space="preserve">4,2 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>процентов, обеспечение электрической энергией, газом и паром – 2,</w:t>
      </w:r>
      <w:r w:rsidR="009316E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процентов, водоснабжение, водоотведение, организация сбора и утилизации отходов, деятельность по ликвидации загрязнений –</w:t>
      </w:r>
      <w:r w:rsidR="009316EE">
        <w:rPr>
          <w:rFonts w:ascii="Times New Roman" w:hAnsi="Times New Roman" w:cs="Times New Roman"/>
          <w:color w:val="000000"/>
          <w:sz w:val="28"/>
          <w:szCs w:val="28"/>
        </w:rPr>
        <w:t>0,8</w:t>
      </w:r>
      <w:r w:rsidRPr="004214A7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 от общего объема отгруженной продукции. В последующие годы структура промышленного производства значительно не изменится.</w:t>
      </w:r>
    </w:p>
    <w:p w:rsidR="004214A7" w:rsidRPr="004214A7" w:rsidRDefault="004214A7" w:rsidP="004214A7">
      <w:p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4A7">
        <w:rPr>
          <w:rFonts w:ascii="Times New Roman" w:hAnsi="Times New Roman" w:cs="Times New Roman"/>
          <w:sz w:val="28"/>
          <w:szCs w:val="28"/>
        </w:rPr>
        <w:t>Добыча полезных ископаемых осуществляется предприятиями: АО «Управление подсобных предприятий», ООО «Комбинат Промышленных Предприятий».</w:t>
      </w:r>
    </w:p>
    <w:p w:rsidR="00CB71DC" w:rsidRDefault="004214A7" w:rsidP="004214A7">
      <w:p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4A7">
        <w:rPr>
          <w:rFonts w:ascii="Times New Roman" w:hAnsi="Times New Roman" w:cs="Times New Roman"/>
          <w:sz w:val="28"/>
          <w:szCs w:val="28"/>
        </w:rPr>
        <w:t>Индекс промышленного производства по данному виду экономическ</w:t>
      </w:r>
      <w:r>
        <w:rPr>
          <w:rFonts w:ascii="Times New Roman" w:hAnsi="Times New Roman" w:cs="Times New Roman"/>
          <w:sz w:val="28"/>
          <w:szCs w:val="28"/>
        </w:rPr>
        <w:t>ой деятельности составит: в 202</w:t>
      </w:r>
      <w:r w:rsidR="009316EE">
        <w:rPr>
          <w:rFonts w:ascii="Times New Roman" w:hAnsi="Times New Roman" w:cs="Times New Roman"/>
          <w:sz w:val="28"/>
          <w:szCs w:val="28"/>
        </w:rPr>
        <w:t>6</w:t>
      </w:r>
      <w:r w:rsidRPr="004214A7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316EE">
        <w:rPr>
          <w:rFonts w:ascii="Times New Roman" w:hAnsi="Times New Roman" w:cs="Times New Roman"/>
          <w:sz w:val="28"/>
          <w:szCs w:val="28"/>
        </w:rPr>
        <w:t>98,2</w:t>
      </w:r>
      <w:r w:rsidRPr="004214A7">
        <w:rPr>
          <w:rFonts w:ascii="Times New Roman" w:hAnsi="Times New Roman" w:cs="Times New Roman"/>
          <w:sz w:val="28"/>
          <w:szCs w:val="28"/>
        </w:rPr>
        <w:t>процентов, в 202</w:t>
      </w:r>
      <w:r w:rsidR="009316EE">
        <w:rPr>
          <w:rFonts w:ascii="Times New Roman" w:hAnsi="Times New Roman" w:cs="Times New Roman"/>
          <w:sz w:val="28"/>
          <w:szCs w:val="28"/>
        </w:rPr>
        <w:t>7</w:t>
      </w:r>
      <w:r w:rsidRPr="004214A7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316EE">
        <w:rPr>
          <w:rFonts w:ascii="Times New Roman" w:hAnsi="Times New Roman" w:cs="Times New Roman"/>
          <w:sz w:val="28"/>
          <w:szCs w:val="28"/>
        </w:rPr>
        <w:t>98,6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4A7">
        <w:rPr>
          <w:rFonts w:ascii="Times New Roman" w:hAnsi="Times New Roman" w:cs="Times New Roman"/>
          <w:sz w:val="28"/>
          <w:szCs w:val="28"/>
        </w:rPr>
        <w:t>процентов, в 202</w:t>
      </w:r>
      <w:r w:rsidR="009316EE">
        <w:rPr>
          <w:rFonts w:ascii="Times New Roman" w:hAnsi="Times New Roman" w:cs="Times New Roman"/>
          <w:sz w:val="28"/>
          <w:szCs w:val="28"/>
        </w:rPr>
        <w:t>8</w:t>
      </w:r>
      <w:r w:rsidRPr="004214A7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316EE">
        <w:rPr>
          <w:rFonts w:ascii="Times New Roman" w:hAnsi="Times New Roman" w:cs="Times New Roman"/>
          <w:sz w:val="28"/>
          <w:szCs w:val="28"/>
        </w:rPr>
        <w:t>97,1</w:t>
      </w:r>
      <w:r w:rsidRPr="004214A7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9316EE" w:rsidRPr="009316EE" w:rsidRDefault="009316EE" w:rsidP="00931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прогнозом объем отгруженных товаров собственного производства, выполненных работ и услуг организациями Смоленского муниципального округа по отраслям обрабатывающих производств в 2026 году составит 6 189,2 млн. рублей, в 2027 году – 7 064,6 млн. рублей, в 2028 году – 8 038,3 млн. рублей.</w:t>
      </w:r>
    </w:p>
    <w:p w:rsidR="004214A7" w:rsidRPr="004214A7" w:rsidRDefault="004214A7" w:rsidP="004214A7">
      <w:p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4A7" w:rsidRPr="004214A7" w:rsidRDefault="004214A7" w:rsidP="004214A7">
      <w:p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4A7" w:rsidRPr="004214A7" w:rsidRDefault="004214A7" w:rsidP="004214A7">
      <w:p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Индекс промышленного производства по обрабатывающим производствам составит: в 2026 году – 107,7 процентов, в 2027 году – 113,6 процентов, в 2028 году – 114,3 процентов.</w:t>
      </w:r>
      <w:r w:rsidRPr="009316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обрабатывающих производств в 2025 году: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- 13,3 % - производство пищевых продуктов;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- 17,2 % - производство химических веществ и химических продуктов;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- 24,6 % – производство резиновых и пластмассовых изделий;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- 5,7% - производство прочей неметаллической минеральной продукции;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- 35,8 % - производство металлургическое;</w:t>
      </w:r>
    </w:p>
    <w:p w:rsidR="009316EE" w:rsidRPr="009316EE" w:rsidRDefault="009316EE" w:rsidP="009316EE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- 3,4 % - производство автотранспортных средств, прицепов и полуприцепов. </w:t>
      </w:r>
    </w:p>
    <w:p w:rsidR="00185ABE" w:rsidRDefault="009316EE" w:rsidP="004214A7">
      <w:p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463A39" wp14:editId="06346278">
            <wp:extent cx="6162675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последующие годы структура промышленного производства по обрабатывающим производствам значительно не изменится.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производства пищевых продуктов составит: в 2026 году – 103,9 процента, в 2027 году – 102,0 процента, в 2028 году – 102,1 процента.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пищевых продуктов осуществляют СПСК «Смоленский производитель», СППССК «Фермерский», ИП Аксенова А.О., КФХ Васютина С.С., СППК «Чайка», СППССК «Импульс», СПОПСК «Смоленский», ООО «Катынские колбасы», ООО «</w:t>
      </w:r>
      <w:proofErr w:type="spellStart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Доккофе</w:t>
      </w:r>
      <w:proofErr w:type="spellEnd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ООО «Московская пищевая фабрика», ООО «</w:t>
      </w:r>
      <w:proofErr w:type="spellStart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Акрукс</w:t>
      </w:r>
      <w:proofErr w:type="spellEnd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ООО «</w:t>
      </w:r>
      <w:proofErr w:type="spellStart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Смоленскинжсельстрой</w:t>
      </w:r>
      <w:proofErr w:type="spellEnd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ООО «Пищевик Смоленского РАЙПО».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производства химических веществ и химических продуктов составит: в 2026 году – 114,7 процентов, в 2027 году – 119,4 процента, в 2028 году – 124,8 процента.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химических веществ и химических продуктов осуществляет ООО «ТАУ-С».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производства резиновых и пластмассовых изделий составит: в 2026 году – 99,8 процентов, в 2027 году – 119,4 процента, в 2028 году – 108,8 процента.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резиновых и пластмассовых изделий осуществляет ООО «</w:t>
      </w:r>
      <w:proofErr w:type="spellStart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Алди</w:t>
      </w:r>
      <w:proofErr w:type="spellEnd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производства прочей неметаллической минеральной продукции составит: в 2026 году – 103,4  процентов,  в 2027 году –103,8  процентов,  в 2028 году – 103,7 процентов.</w:t>
      </w:r>
    </w:p>
    <w:p w:rsidR="009316EE" w:rsidRPr="009316EE" w:rsidRDefault="009316EE" w:rsidP="009316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Развитие отрасли производства прочей неметаллической минеральной продукции связано с активным строительством жилья. </w:t>
      </w:r>
    </w:p>
    <w:p w:rsidR="009316EE" w:rsidRPr="009316EE" w:rsidRDefault="009316EE" w:rsidP="009316E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16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Следует отметить, что на сегодняшней день Смоленский муниципальный округ является одним из ведущих муниципальных образований в сфере развития жилищного строительства на территории Смоленской области. </w:t>
      </w:r>
    </w:p>
    <w:p w:rsidR="009316EE" w:rsidRPr="009316EE" w:rsidRDefault="009316EE" w:rsidP="009316E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16EE">
        <w:rPr>
          <w:rFonts w:ascii="Times New Roman" w:eastAsia="Calibri" w:hAnsi="Times New Roman" w:cs="Times New Roman"/>
          <w:color w:val="000000"/>
          <w:sz w:val="28"/>
          <w:szCs w:val="28"/>
        </w:rPr>
        <w:t>В 2024 году общий объем введенного жилья составил 162 246 кв. м.,</w:t>
      </w:r>
      <w:r w:rsidRPr="009316E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316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 составляет 32,8% от </w:t>
      </w:r>
      <w:r w:rsidRPr="009316EE">
        <w:rPr>
          <w:rFonts w:ascii="Times New Roman" w:eastAsia="Calibri" w:hAnsi="Times New Roman" w:cs="Times New Roman"/>
          <w:sz w:val="28"/>
          <w:szCs w:val="28"/>
          <w:lang w:eastAsia="ru-RU"/>
        </w:rPr>
        <w:t>общего количества введенных квадратных метров всей Смоленской областью</w:t>
      </w:r>
      <w:r w:rsidRPr="009316EE">
        <w:rPr>
          <w:rFonts w:ascii="Times New Roman" w:eastAsia="Calibri" w:hAnsi="Times New Roman" w:cs="Times New Roman"/>
          <w:color w:val="000000"/>
          <w:sz w:val="28"/>
          <w:szCs w:val="28"/>
        </w:rPr>
        <w:t>. По вводу жилья в эксплуатацию Смоленский муниципальный округ занимает второе место.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прочей неметаллической минеральной продукции осуществляет АО «</w:t>
      </w:r>
      <w:proofErr w:type="spellStart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Баутек</w:t>
      </w:r>
      <w:proofErr w:type="spellEnd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ООО «Гарант-строй </w:t>
      </w:r>
      <w:proofErr w:type="spellStart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Ташир</w:t>
      </w:r>
      <w:proofErr w:type="spellEnd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ООО «</w:t>
      </w:r>
      <w:proofErr w:type="spellStart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Смолстоунгрупп</w:t>
      </w:r>
      <w:proofErr w:type="spellEnd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ООО «</w:t>
      </w:r>
      <w:proofErr w:type="spellStart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Бетонинвест</w:t>
      </w:r>
      <w:proofErr w:type="spellEnd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ООО «Смоленский завод ЖБИ-1», ООО «Фаянс».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металлургического производства составит: в 2026 году – 99,6 процентов, в 2027 году – 100,2  процентов, в 2028 году – 101,0 процентов.</w:t>
      </w:r>
    </w:p>
    <w:p w:rsidR="009316EE" w:rsidRPr="009316EE" w:rsidRDefault="009316EE" w:rsidP="0093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Металлургическое производство</w:t>
      </w:r>
      <w:r w:rsidRPr="009316E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(производство профилей с помощью холодной штамповки или гибки)</w:t>
      </w:r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ООО «</w:t>
      </w:r>
      <w:proofErr w:type="spellStart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Юнипроф</w:t>
      </w:r>
      <w:proofErr w:type="spellEnd"/>
      <w:r w:rsidRPr="0093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B4432" w:rsidRPr="00BB4432" w:rsidRDefault="00BB4432" w:rsidP="00BB4432">
      <w:p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432">
        <w:rPr>
          <w:rFonts w:ascii="Times New Roman" w:hAnsi="Times New Roman" w:cs="Times New Roman"/>
          <w:sz w:val="28"/>
          <w:szCs w:val="28"/>
        </w:rPr>
        <w:t>В 202</w:t>
      </w:r>
      <w:r w:rsidR="00A2316F">
        <w:rPr>
          <w:rFonts w:ascii="Times New Roman" w:hAnsi="Times New Roman" w:cs="Times New Roman"/>
          <w:sz w:val="28"/>
          <w:szCs w:val="28"/>
        </w:rPr>
        <w:t>6</w:t>
      </w:r>
      <w:r w:rsidRPr="00BB4432">
        <w:rPr>
          <w:rFonts w:ascii="Times New Roman" w:hAnsi="Times New Roman" w:cs="Times New Roman"/>
          <w:sz w:val="28"/>
          <w:szCs w:val="28"/>
        </w:rPr>
        <w:t xml:space="preserve"> году согласно прогно</w:t>
      </w:r>
      <w:r w:rsidR="00523453">
        <w:rPr>
          <w:rFonts w:ascii="Times New Roman" w:hAnsi="Times New Roman" w:cs="Times New Roman"/>
          <w:sz w:val="28"/>
          <w:szCs w:val="28"/>
        </w:rPr>
        <w:t>з</w:t>
      </w:r>
      <w:r w:rsidRPr="00BB4432">
        <w:rPr>
          <w:rFonts w:ascii="Times New Roman" w:hAnsi="Times New Roman" w:cs="Times New Roman"/>
          <w:sz w:val="28"/>
          <w:szCs w:val="28"/>
        </w:rPr>
        <w:t xml:space="preserve">у объем отгруженных товаров, выполненных работ и услуг по виду экономической деятельности: обеспечение электрической энергией,  газом и паром составит </w:t>
      </w:r>
      <w:r w:rsidR="00A2316F">
        <w:rPr>
          <w:rFonts w:ascii="Times New Roman" w:hAnsi="Times New Roman" w:cs="Times New Roman"/>
          <w:sz w:val="28"/>
          <w:szCs w:val="28"/>
        </w:rPr>
        <w:t>147,7</w:t>
      </w:r>
      <w:r w:rsidRPr="00BB4432">
        <w:rPr>
          <w:rFonts w:ascii="Times New Roman" w:hAnsi="Times New Roman" w:cs="Times New Roman"/>
          <w:sz w:val="28"/>
          <w:szCs w:val="28"/>
        </w:rPr>
        <w:t xml:space="preserve"> млн. рублей. Индекс промышленного производства в 202</w:t>
      </w:r>
      <w:r w:rsidR="00A2316F">
        <w:rPr>
          <w:rFonts w:ascii="Times New Roman" w:hAnsi="Times New Roman" w:cs="Times New Roman"/>
          <w:sz w:val="28"/>
          <w:szCs w:val="28"/>
        </w:rPr>
        <w:t>6</w:t>
      </w:r>
      <w:r w:rsidRPr="00BB4432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A2316F">
        <w:rPr>
          <w:rFonts w:ascii="Times New Roman" w:hAnsi="Times New Roman" w:cs="Times New Roman"/>
          <w:sz w:val="28"/>
          <w:szCs w:val="28"/>
        </w:rPr>
        <w:t>100,1</w:t>
      </w:r>
      <w:r w:rsidRPr="00BB4432">
        <w:rPr>
          <w:rFonts w:ascii="Times New Roman" w:hAnsi="Times New Roman" w:cs="Times New Roman"/>
          <w:sz w:val="28"/>
          <w:szCs w:val="28"/>
        </w:rPr>
        <w:t xml:space="preserve"> процентов, в 202</w:t>
      </w:r>
      <w:r w:rsidR="00A2316F">
        <w:rPr>
          <w:rFonts w:ascii="Times New Roman" w:hAnsi="Times New Roman" w:cs="Times New Roman"/>
          <w:sz w:val="28"/>
          <w:szCs w:val="28"/>
        </w:rPr>
        <w:t>7</w:t>
      </w:r>
      <w:r w:rsidRPr="00BB443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2316F">
        <w:rPr>
          <w:rFonts w:ascii="Times New Roman" w:hAnsi="Times New Roman" w:cs="Times New Roman"/>
          <w:sz w:val="28"/>
          <w:szCs w:val="28"/>
        </w:rPr>
        <w:t>99,9</w:t>
      </w:r>
      <w:r w:rsidRPr="00BB4432">
        <w:rPr>
          <w:rFonts w:ascii="Times New Roman" w:hAnsi="Times New Roman" w:cs="Times New Roman"/>
          <w:sz w:val="28"/>
          <w:szCs w:val="28"/>
        </w:rPr>
        <w:t xml:space="preserve"> процентов, в 202</w:t>
      </w:r>
      <w:r w:rsidR="00A2316F">
        <w:rPr>
          <w:rFonts w:ascii="Times New Roman" w:hAnsi="Times New Roman" w:cs="Times New Roman"/>
          <w:sz w:val="28"/>
          <w:szCs w:val="28"/>
        </w:rPr>
        <w:t>8</w:t>
      </w:r>
      <w:r w:rsidRPr="00BB443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2316F">
        <w:rPr>
          <w:rFonts w:ascii="Times New Roman" w:hAnsi="Times New Roman" w:cs="Times New Roman"/>
          <w:sz w:val="28"/>
          <w:szCs w:val="28"/>
        </w:rPr>
        <w:t>100,1</w:t>
      </w:r>
      <w:r w:rsidRPr="00BB4432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BB4432" w:rsidRDefault="00BB4432" w:rsidP="00BB4432">
      <w:p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432">
        <w:rPr>
          <w:rFonts w:ascii="Times New Roman" w:hAnsi="Times New Roman" w:cs="Times New Roman"/>
          <w:sz w:val="28"/>
          <w:szCs w:val="28"/>
        </w:rPr>
        <w:t>В 202</w:t>
      </w:r>
      <w:r w:rsidR="00A2316F">
        <w:rPr>
          <w:rFonts w:ascii="Times New Roman" w:hAnsi="Times New Roman" w:cs="Times New Roman"/>
          <w:sz w:val="28"/>
          <w:szCs w:val="28"/>
        </w:rPr>
        <w:t>6</w:t>
      </w:r>
      <w:r w:rsidRPr="00BB4432">
        <w:rPr>
          <w:rFonts w:ascii="Times New Roman" w:hAnsi="Times New Roman" w:cs="Times New Roman"/>
          <w:sz w:val="28"/>
          <w:szCs w:val="28"/>
        </w:rPr>
        <w:t xml:space="preserve"> году согласно прогнозу объем отгруженных товаров, выполненных работ и услуг по виду экономической деятельности: водоснабжение, водоотведение, организация сбора и утилизации отходов, деятельность по ликвидации загрязнений составит </w:t>
      </w:r>
      <w:r w:rsidR="00A2316F">
        <w:rPr>
          <w:rFonts w:ascii="Times New Roman" w:hAnsi="Times New Roman" w:cs="Times New Roman"/>
          <w:sz w:val="28"/>
          <w:szCs w:val="28"/>
        </w:rPr>
        <w:t>54,2</w:t>
      </w:r>
      <w:r w:rsidRPr="00BB4432">
        <w:rPr>
          <w:rFonts w:ascii="Times New Roman" w:hAnsi="Times New Roman" w:cs="Times New Roman"/>
          <w:sz w:val="28"/>
          <w:szCs w:val="28"/>
        </w:rPr>
        <w:t xml:space="preserve"> млн. рублей. Индекс промышленного производства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2316F">
        <w:rPr>
          <w:rFonts w:ascii="Times New Roman" w:hAnsi="Times New Roman" w:cs="Times New Roman"/>
          <w:sz w:val="28"/>
          <w:szCs w:val="28"/>
        </w:rPr>
        <w:t>6</w:t>
      </w:r>
      <w:r w:rsidRPr="00BB4432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A2316F">
        <w:rPr>
          <w:rFonts w:ascii="Times New Roman" w:hAnsi="Times New Roman" w:cs="Times New Roman"/>
          <w:sz w:val="28"/>
          <w:szCs w:val="28"/>
        </w:rPr>
        <w:t>99,9</w:t>
      </w:r>
      <w:r w:rsidRPr="00BB4432">
        <w:rPr>
          <w:rFonts w:ascii="Times New Roman" w:hAnsi="Times New Roman" w:cs="Times New Roman"/>
          <w:sz w:val="28"/>
          <w:szCs w:val="28"/>
        </w:rPr>
        <w:t xml:space="preserve"> процентов, в 202</w:t>
      </w:r>
      <w:r w:rsidR="00A2316F">
        <w:rPr>
          <w:rFonts w:ascii="Times New Roman" w:hAnsi="Times New Roman" w:cs="Times New Roman"/>
          <w:sz w:val="28"/>
          <w:szCs w:val="28"/>
        </w:rPr>
        <w:t>7</w:t>
      </w:r>
      <w:r w:rsidRPr="00BB443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2316F">
        <w:rPr>
          <w:rFonts w:ascii="Times New Roman" w:hAnsi="Times New Roman" w:cs="Times New Roman"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процентов, в 202</w:t>
      </w:r>
      <w:r w:rsidR="00A2316F">
        <w:rPr>
          <w:rFonts w:ascii="Times New Roman" w:hAnsi="Times New Roman" w:cs="Times New Roman"/>
          <w:sz w:val="28"/>
          <w:szCs w:val="28"/>
        </w:rPr>
        <w:t>8</w:t>
      </w:r>
      <w:r w:rsidRPr="00BB4432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231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BB4432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523453" w:rsidRPr="00523453" w:rsidRDefault="00523453" w:rsidP="00D11DD2">
      <w:pPr>
        <w:tabs>
          <w:tab w:val="left" w:pos="9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3453">
        <w:rPr>
          <w:rFonts w:ascii="Times New Roman" w:hAnsi="Times New Roman" w:cs="Times New Roman"/>
          <w:sz w:val="28"/>
          <w:szCs w:val="28"/>
        </w:rPr>
        <w:t>СЕЛЬСКОЕ ХОЗЯЙСТВО</w:t>
      </w:r>
    </w:p>
    <w:p w:rsidR="00F6362C" w:rsidRPr="00F6362C" w:rsidRDefault="00F6362C" w:rsidP="00F6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Сельское хозяйство – один из важнейших секторов экономики </w:t>
      </w:r>
      <w:r w:rsidRPr="00F6362C">
        <w:rPr>
          <w:rFonts w:ascii="Times New Roman" w:eastAsia="Calibri" w:hAnsi="Times New Roman" w:cs="Times New Roman"/>
          <w:sz w:val="28"/>
          <w:szCs w:val="36"/>
          <w:lang w:eastAsia="ru-RU"/>
        </w:rPr>
        <w:t>муниципального образования «Смоленский муниципальный округ» Смоленской области</w:t>
      </w:r>
      <w:r w:rsidRPr="00F6362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6362C" w:rsidRPr="00F6362C" w:rsidRDefault="00F6362C" w:rsidP="00F6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362C">
        <w:rPr>
          <w:rFonts w:ascii="Times New Roman" w:eastAsia="Calibri" w:hAnsi="Times New Roman" w:cs="Times New Roman"/>
          <w:sz w:val="28"/>
          <w:szCs w:val="36"/>
          <w:lang w:eastAsia="ru-RU"/>
        </w:rPr>
        <w:t>В 2024 году на территории муниципального образования «Смоленский муниципальный округ» Смоленской области осуществляли деятельность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 сельскохозяйственных организаций, 22 крестьянских (фермерских) хозяйства, 1 предприятие пищевой и перерабатывающей промышленности, 11 индивидуальных предпринимателей, 2 тепличных комбината, 5 сельскохозяйственных кооперативов. Общее количество – 54 ед. 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удельный вес в производстве сельскохозяйственной продукции занимают ООО «Птицефабрика «Сметанино», ООО «</w:t>
      </w:r>
      <w:proofErr w:type="spell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Козинский</w:t>
      </w:r>
      <w:proofErr w:type="spell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тепличный комбинат», ООО «Агрофирма-</w:t>
      </w:r>
      <w:proofErr w:type="spell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Катынь</w:t>
      </w:r>
      <w:proofErr w:type="spell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«Хлебороб», СПК «Талашкино</w:t>
      </w:r>
      <w:r w:rsidRPr="00F63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Агро», АО «Смоленское» по племенной работе, ООО «СМП «</w:t>
      </w:r>
      <w:proofErr w:type="spell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Агросервис</w:t>
      </w:r>
      <w:proofErr w:type="spell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Ф)Х Васютина Станислава Семеновича, ИП Глава КФХ Ковалев Владислав Викторович, а также СПСК «Смоленский производитель», СПСК «Содействие», СППССК «Фермерский». 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в организованном секторе агропромышленного комплекса </w:t>
      </w:r>
      <w:r w:rsidRPr="00F6362C">
        <w:rPr>
          <w:rFonts w:ascii="Times New Roman" w:eastAsia="Calibri" w:hAnsi="Times New Roman" w:cs="Times New Roman"/>
          <w:sz w:val="28"/>
          <w:szCs w:val="36"/>
          <w:lang w:eastAsia="ru-RU"/>
        </w:rPr>
        <w:t xml:space="preserve">муниципального образования «Смоленский муниципальный округ» Смоленской </w:t>
      </w:r>
      <w:r w:rsidRPr="00F6362C">
        <w:rPr>
          <w:rFonts w:ascii="Times New Roman" w:eastAsia="Calibri" w:hAnsi="Times New Roman" w:cs="Times New Roman"/>
          <w:sz w:val="28"/>
          <w:szCs w:val="36"/>
          <w:lang w:eastAsia="ru-RU"/>
        </w:rPr>
        <w:lastRenderedPageBreak/>
        <w:t>области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произведено сельскохозяйственной продукции на сумму 4,3 млрд. рублей </w:t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(110,3 % к уровню предыдущего года)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2024 года 92,3 % сельскохозяйственных товаропроизводителей достигли </w:t>
      </w: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положительного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результата (</w:t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2023 г. – 77 %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Увеличение количества рентабельных хозяйств, связано с улучшением </w:t>
      </w:r>
      <w:r w:rsidRPr="00F6362C">
        <w:rPr>
          <w:rFonts w:ascii="Times New Roman" w:eastAsia="Times New Roman" w:hAnsi="Times New Roman" w:cs="Times New Roman"/>
          <w:sz w:val="28"/>
          <w:szCs w:val="20"/>
          <w:lang w:eastAsia="ru-RU"/>
        </w:rPr>
        <w:t>экономической ситуации на рынке зерна. Так, в 2024 году увеличились стоимость и спрос на зерно по сравнению с предыдущим годом.</w:t>
      </w:r>
    </w:p>
    <w:p w:rsidR="00F6362C" w:rsidRPr="00F6362C" w:rsidRDefault="00F6362C" w:rsidP="00F6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2024 году индекс производства продукции сельского хозяйства в хозяйствах всех категорий составил 98,2 %. В соответствии с прогнозом данный показатель составит: в 2025 году – 100,6 %; в 2026 году – 101,0 %, в 2027 году – 101,3 %, </w:t>
      </w:r>
      <w:r w:rsidRPr="00F6362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в 2028 году –102,3 % к уровню предыдущего года.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вся посевная площадь в хозяйствах всех категорий составила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21,8 тыс. гектаров, или 96,6 % к уровню предыдущего года. Сокращение посевной площади произошло из-за прекращения деятельности фермеров Степанова А.Е. и Разиной С.В.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произведено зерна в хозяйствах всех категорий на уровне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17,6 тыс. тонн </w:t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(88,1 % к уровню предыдущего года)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картофеля – 9,6 тыс. тонн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(79,1 % к уровню предыдущего года)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овощей –</w:t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7,0 тыс. тонн </w:t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(104,7 % к уровню предыдущего года)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семян рапса – 4,3 тыс. тонн </w:t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2,5 раза превышает уровень предыдущего года)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, льноволокна – 0,1 тыс. тонн.</w:t>
      </w:r>
      <w:proofErr w:type="gramEnd"/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Урожайность зерна, в среднем по </w:t>
      </w:r>
      <w:r w:rsidRPr="00F6362C">
        <w:rPr>
          <w:rFonts w:ascii="Times New Roman" w:eastAsia="Calibri" w:hAnsi="Times New Roman" w:cs="Times New Roman"/>
          <w:sz w:val="28"/>
          <w:szCs w:val="36"/>
          <w:lang w:eastAsia="ru-RU"/>
        </w:rPr>
        <w:t>муниципальному образованию «Смоленский муниципальный округ» Смоленской области</w:t>
      </w: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составила 25,9 центнеров с гектара </w:t>
      </w:r>
      <w:r w:rsidRPr="00F6362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(102,1 % к уровню прошлого года)</w:t>
      </w: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аибольшая урожайность </w:t>
      </w: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зерна получена: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ООО «Хлебороб» – 43,3 центнеров с гектара;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ИП Глава </w:t>
      </w:r>
      <w:proofErr w:type="gramStart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К(</w:t>
      </w:r>
      <w:proofErr w:type="gramEnd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Ф)Х Ковалев В.В. – 44,1 центнеров с гектара;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ООО «АГРО-ФОРС» – 26,7 центнеров с гектара.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зернопроизводящими организациями на территории Смоленского района являются ООО «Птицефабрика «Сметанино», ООО «</w:t>
      </w:r>
      <w:proofErr w:type="spellStart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Козинский</w:t>
      </w:r>
      <w:proofErr w:type="spellEnd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тепличный комбинат»,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«Агрофирма-</w:t>
      </w:r>
      <w:proofErr w:type="spell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Катынь</w:t>
      </w:r>
      <w:proofErr w:type="spell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ООО «Хлебороб», ООО «АГРО-ФОРС», СПК «Талашкино-Агро», КФХ Васютина С.С., ИП Глава </w:t>
      </w:r>
      <w:proofErr w:type="gramStart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К(</w:t>
      </w:r>
      <w:proofErr w:type="gramEnd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Ф)Х Ковалев В.В., ИП Глава К(Ф)Х </w:t>
      </w:r>
      <w:proofErr w:type="spellStart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Луканченков</w:t>
      </w:r>
      <w:proofErr w:type="spellEnd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А.Н.</w:t>
      </w:r>
    </w:p>
    <w:p w:rsidR="00F6362C" w:rsidRPr="00F6362C" w:rsidRDefault="00F6362C" w:rsidP="00F636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F6362C">
        <w:rPr>
          <w:rFonts w:ascii="Times New Roman" w:eastAsia="Calibri" w:hAnsi="Times New Roman" w:cs="Times New Roman"/>
          <w:sz w:val="28"/>
          <w:szCs w:val="36"/>
          <w:lang w:eastAsia="ru-RU"/>
        </w:rPr>
        <w:t>Муниципальное образование «Смоленский муниципальный округ» Смоленской области</w:t>
      </w:r>
      <w:r w:rsidRPr="00F6362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занимает лидирующие позиции в Смоленской области по производству картофеля и овощей. </w:t>
      </w:r>
    </w:p>
    <w:p w:rsidR="00F6362C" w:rsidRPr="00F6362C" w:rsidRDefault="00F6362C" w:rsidP="00F636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F6362C">
        <w:rPr>
          <w:rFonts w:ascii="Times New Roman" w:eastAsia="Calibri" w:hAnsi="Times New Roman" w:cs="Times New Roman"/>
          <w:sz w:val="28"/>
          <w:szCs w:val="20"/>
          <w:lang w:eastAsia="ru-RU"/>
        </w:rPr>
        <w:t>Основные картофеле- и овощеводческие предприятия – ООО «</w:t>
      </w:r>
      <w:proofErr w:type="spellStart"/>
      <w:r w:rsidRPr="00F6362C">
        <w:rPr>
          <w:rFonts w:ascii="Times New Roman" w:eastAsia="Calibri" w:hAnsi="Times New Roman" w:cs="Times New Roman"/>
          <w:sz w:val="28"/>
          <w:szCs w:val="20"/>
          <w:lang w:eastAsia="ru-RU"/>
        </w:rPr>
        <w:t>Козинский</w:t>
      </w:r>
      <w:proofErr w:type="spellEnd"/>
      <w:r w:rsidRPr="00F6362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тепличный комбинат», индивидуальный предприниматель Глава </w:t>
      </w:r>
      <w:proofErr w:type="gramStart"/>
      <w:r w:rsidRPr="00F6362C">
        <w:rPr>
          <w:rFonts w:ascii="Times New Roman" w:eastAsia="Calibri" w:hAnsi="Times New Roman" w:cs="Times New Roman"/>
          <w:sz w:val="28"/>
          <w:szCs w:val="20"/>
          <w:lang w:eastAsia="ru-RU"/>
        </w:rPr>
        <w:t>К(</w:t>
      </w:r>
      <w:proofErr w:type="gramEnd"/>
      <w:r w:rsidRPr="00F6362C">
        <w:rPr>
          <w:rFonts w:ascii="Times New Roman" w:eastAsia="Calibri" w:hAnsi="Times New Roman" w:cs="Times New Roman"/>
          <w:sz w:val="28"/>
          <w:szCs w:val="20"/>
          <w:lang w:eastAsia="ru-RU"/>
        </w:rPr>
        <w:t>Ф)Х Ковалев Владислав Викторович, индивидуальный предприниматель Глава К(Ф)Х Ковалев Алексей Владиславович.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аибольшая урожайность </w:t>
      </w: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семян рапса получена: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ООО «Хлебороб» – 24,5 центнеров с гектара;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ООО «</w:t>
      </w:r>
      <w:proofErr w:type="spellStart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Козинский</w:t>
      </w:r>
      <w:proofErr w:type="spellEnd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тепличный комбинат» – 24,4 центнеров с гектара;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ИП Глава </w:t>
      </w:r>
      <w:proofErr w:type="gramStart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К(</w:t>
      </w:r>
      <w:proofErr w:type="gramEnd"/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Ф)Х Ковалев В.В. – 20,8 центнеров с гектара.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2024 году в ООО «Хлебороб» было посеяно 0,076 тыс. гектаров льна-долгунца и получено 0,1 тыс. тонн льноволокна.</w:t>
      </w:r>
    </w:p>
    <w:p w:rsidR="00F6362C" w:rsidRPr="00F6362C" w:rsidRDefault="00F6362C" w:rsidP="00F636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62C">
        <w:rPr>
          <w:rFonts w:ascii="Times New Roman" w:eastAsia="Calibri" w:hAnsi="Times New Roman" w:cs="Times New Roman"/>
          <w:sz w:val="28"/>
          <w:szCs w:val="28"/>
        </w:rPr>
        <w:lastRenderedPageBreak/>
        <w:t>Вся посевная площадь под урожай 2025 года составит 22,5 тыс. гектаров. Несмотря на то, чт</w:t>
      </w:r>
      <w:proofErr w:type="gramStart"/>
      <w:r w:rsidRPr="00F6362C">
        <w:rPr>
          <w:rFonts w:ascii="Times New Roman" w:eastAsia="Calibri" w:hAnsi="Times New Roman" w:cs="Times New Roman"/>
          <w:sz w:val="28"/>
          <w:szCs w:val="28"/>
        </w:rPr>
        <w:t>о ООО</w:t>
      </w:r>
      <w:proofErr w:type="gramEnd"/>
      <w:r w:rsidRPr="00F6362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F6362C">
        <w:rPr>
          <w:rFonts w:ascii="Times New Roman" w:eastAsia="Calibri" w:hAnsi="Times New Roman" w:cs="Times New Roman"/>
          <w:sz w:val="28"/>
          <w:szCs w:val="28"/>
        </w:rPr>
        <w:t>Агроресурс</w:t>
      </w:r>
      <w:proofErr w:type="spellEnd"/>
      <w:r w:rsidRPr="00F6362C">
        <w:rPr>
          <w:rFonts w:ascii="Times New Roman" w:eastAsia="Calibri" w:hAnsi="Times New Roman" w:cs="Times New Roman"/>
          <w:sz w:val="28"/>
          <w:szCs w:val="28"/>
        </w:rPr>
        <w:t xml:space="preserve">» прекратил свою деятельность, за счет проведения </w:t>
      </w:r>
      <w:proofErr w:type="spellStart"/>
      <w:r w:rsidRPr="00F6362C">
        <w:rPr>
          <w:rFonts w:ascii="Times New Roman" w:eastAsia="Calibri" w:hAnsi="Times New Roman" w:cs="Times New Roman"/>
          <w:sz w:val="28"/>
          <w:szCs w:val="28"/>
        </w:rPr>
        <w:t>культуртехнических</w:t>
      </w:r>
      <w:proofErr w:type="spellEnd"/>
      <w:r w:rsidRPr="00F6362C">
        <w:rPr>
          <w:rFonts w:ascii="Times New Roman" w:eastAsia="Calibri" w:hAnsi="Times New Roman" w:cs="Times New Roman"/>
          <w:sz w:val="28"/>
          <w:szCs w:val="28"/>
        </w:rPr>
        <w:t xml:space="preserve"> мероприятий и ввода земель сельскохозяйственного назначения в сельскохозяйственный оборот  </w:t>
      </w:r>
      <w:r w:rsidRPr="00F6362C">
        <w:rPr>
          <w:rFonts w:ascii="Times New Roman" w:eastAsia="Calibri" w:hAnsi="Times New Roman" w:cs="Times New Roman"/>
          <w:sz w:val="28"/>
          <w:szCs w:val="28"/>
        </w:rPr>
        <w:br/>
        <w:t>ООО «</w:t>
      </w:r>
      <w:proofErr w:type="spellStart"/>
      <w:r w:rsidRPr="00F6362C">
        <w:rPr>
          <w:rFonts w:ascii="Times New Roman" w:eastAsia="Calibri" w:hAnsi="Times New Roman" w:cs="Times New Roman"/>
          <w:sz w:val="28"/>
          <w:szCs w:val="28"/>
        </w:rPr>
        <w:t>Козинский</w:t>
      </w:r>
      <w:proofErr w:type="spellEnd"/>
      <w:r w:rsidRPr="00F6362C">
        <w:rPr>
          <w:rFonts w:ascii="Times New Roman" w:eastAsia="Calibri" w:hAnsi="Times New Roman" w:cs="Times New Roman"/>
          <w:sz w:val="28"/>
          <w:szCs w:val="28"/>
        </w:rPr>
        <w:t xml:space="preserve"> тепличный комбинат» и ООО «Птицефабрика «Сметанино» посевная площадь незначительно будет увеличена к уровню предыдущего года.</w:t>
      </w:r>
    </w:p>
    <w:p w:rsidR="00F6362C" w:rsidRPr="00F6362C" w:rsidRDefault="00F6362C" w:rsidP="00F636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6362C">
        <w:rPr>
          <w:rFonts w:ascii="Times New Roman" w:eastAsia="Calibri" w:hAnsi="Times New Roman" w:cs="Times New Roman"/>
          <w:sz w:val="28"/>
          <w:szCs w:val="28"/>
        </w:rPr>
        <w:t xml:space="preserve">Планируемый валовый сбор зерна составит 17,8 тыс. тонн, картофеля – </w:t>
      </w:r>
      <w:r w:rsidRPr="00F6362C">
        <w:rPr>
          <w:rFonts w:ascii="Times New Roman" w:eastAsia="Calibri" w:hAnsi="Times New Roman" w:cs="Times New Roman"/>
          <w:sz w:val="28"/>
          <w:szCs w:val="28"/>
        </w:rPr>
        <w:br/>
        <w:t xml:space="preserve">10,0 тыс. тонн, овощей – более 6,0 тыс. тонн, семян рапса – 4,3 тыс. тонн, льноволокна – 0,11 тыс. тонн. </w:t>
      </w:r>
      <w:proofErr w:type="gramEnd"/>
    </w:p>
    <w:p w:rsidR="00F6362C" w:rsidRPr="00F6362C" w:rsidRDefault="00F6362C" w:rsidP="00F636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62C">
        <w:rPr>
          <w:rFonts w:ascii="Times New Roman" w:eastAsia="Calibri" w:hAnsi="Times New Roman" w:cs="Times New Roman"/>
          <w:sz w:val="28"/>
          <w:szCs w:val="28"/>
        </w:rPr>
        <w:t>Сокращение объемов производства овощей связано с соблюдением севооборота.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F6362C">
        <w:rPr>
          <w:rFonts w:ascii="Times New Roman" w:eastAsia="Calibri" w:hAnsi="Times New Roman" w:cs="Times New Roman"/>
          <w:sz w:val="28"/>
          <w:szCs w:val="36"/>
          <w:lang w:eastAsia="ru-RU"/>
        </w:rPr>
        <w:t>муниципального образования «Смоленский муниципальный округ» Смоленской области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отрасль животноводства представлена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26 сельскохозяйственными товаропроизводителями, занимающимися производством и реализацией молока и мяса, а также предприятием, лидирующим в Смоленской области по производству куриного яйца. Также в их число входят организации и индивидуальные предприниматели, занимающиеся пчеловодством и рыбоводством.</w:t>
      </w:r>
    </w:p>
    <w:p w:rsidR="00F6362C" w:rsidRPr="00F6362C" w:rsidRDefault="00F6362C" w:rsidP="00F6362C">
      <w:pPr>
        <w:widowControl w:val="0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разведению крупного рогатого скота на территории муниципального образования ведут 2 племенных хозяйств:</w:t>
      </w:r>
    </w:p>
    <w:p w:rsidR="00F6362C" w:rsidRPr="00F6362C" w:rsidRDefault="00F6362C" w:rsidP="00F6362C">
      <w:pPr>
        <w:widowControl w:val="0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АО «Смоленское» по племенной работе (</w:t>
      </w:r>
      <w:proofErr w:type="spell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племзавод</w:t>
      </w:r>
      <w:proofErr w:type="spell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племрепродуктор</w:t>
      </w:r>
      <w:proofErr w:type="spell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по </w:t>
      </w:r>
      <w:proofErr w:type="spell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сычевской</w:t>
      </w:r>
      <w:proofErr w:type="spell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вазузский</w:t>
      </w:r>
      <w:proofErr w:type="spell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тип) и </w:t>
      </w:r>
      <w:proofErr w:type="spell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голштинской</w:t>
      </w:r>
      <w:proofErr w:type="spell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породам соответственно;</w:t>
      </w:r>
    </w:p>
    <w:p w:rsidR="00F6362C" w:rsidRPr="00F6362C" w:rsidRDefault="00F6362C" w:rsidP="00F6362C">
      <w:pPr>
        <w:widowControl w:val="0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СПК «Талашкино-Агро» (</w:t>
      </w:r>
      <w:proofErr w:type="spell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племрепродуктор</w:t>
      </w:r>
      <w:proofErr w:type="spell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по бурой швицкой породе.</w:t>
      </w:r>
    </w:p>
    <w:p w:rsidR="00F6362C" w:rsidRPr="00F6362C" w:rsidRDefault="00F6362C" w:rsidP="00F6362C">
      <w:pPr>
        <w:widowControl w:val="0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января 2025 года в хозяйствах всех </w:t>
      </w:r>
      <w:r w:rsidRPr="00F63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категорий поголовье крупного рогатого скота составило </w:t>
      </w:r>
      <w:r w:rsidRPr="00F6362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6 421 </w:t>
      </w:r>
      <w:r w:rsidRPr="00F63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гол. (</w:t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102,2 % к уровню предыдущего года</w:t>
      </w:r>
      <w:r w:rsidRPr="00F63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), в том числе коров – </w:t>
      </w:r>
      <w:r w:rsidRPr="00F6362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3 305 гол. (</w:t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107,9 % к уровню предыдущего года</w:t>
      </w:r>
      <w:r w:rsidRPr="00F6362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62C" w:rsidRPr="00F6362C" w:rsidRDefault="00F6362C" w:rsidP="00F6362C">
      <w:pPr>
        <w:widowControl w:val="0"/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F6362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 1 января 2025 года производство скота и птицы на убой (в живом весе) в хозяйствах всех категорий составило 1,6 тыс. тонн </w:t>
      </w:r>
      <w:r w:rsidRPr="00F6362C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/>
        </w:rPr>
        <w:t>(97,1 % к уровню предыдущего года)</w:t>
      </w:r>
      <w:r w:rsidRPr="00F6362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</w:p>
    <w:p w:rsidR="00F6362C" w:rsidRPr="00F6362C" w:rsidRDefault="00F6362C" w:rsidP="00F6362C">
      <w:pPr>
        <w:widowControl w:val="0"/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2024 году производство молока составило в хозяйствах всех категорий – </w:t>
      </w:r>
      <w:r w:rsidRPr="00F6362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  <w:t>14,3 тыс. тонн (</w:t>
      </w:r>
      <w:r w:rsidRPr="00F6362C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/>
        </w:rPr>
        <w:t>118,3 % к уровню предыдущего года</w:t>
      </w:r>
      <w:r w:rsidRPr="00F6362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)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62C" w:rsidRPr="00F6362C" w:rsidRDefault="00F6362C" w:rsidP="00F6362C">
      <w:pPr>
        <w:widowControl w:val="0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н</w:t>
      </w:r>
      <w:r w:rsidRPr="00F6362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адой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молока</w:t>
      </w:r>
      <w:r w:rsidRPr="00F6362C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на </w:t>
      </w:r>
      <w:r w:rsidRPr="00F63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фуражную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6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корову составил 4 327</w:t>
      </w:r>
      <w:r w:rsidRPr="00F6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кг (</w:t>
      </w:r>
      <w:r w:rsidRPr="00F63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105,4 % к уровню предыдущего года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6362C" w:rsidRPr="00F6362C" w:rsidRDefault="00F6362C" w:rsidP="00F6362C">
      <w:pPr>
        <w:widowControl w:val="0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надой молока среди сельскохозяйственных организаций получен в СПК «Талашкино-Агро» – на уровне 6 216 кг, среди крестьянских (фермерских) хозяйств: в ИП Глава </w:t>
      </w:r>
      <w:proofErr w:type="gramStart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Ф)Х Рубцов В.И. – 5 208 кг.</w:t>
      </w:r>
    </w:p>
    <w:p w:rsidR="00F6362C" w:rsidRPr="00F6362C" w:rsidRDefault="00F6362C" w:rsidP="00F63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итогам 2024 года по производству молока доля всех категорий хозяйств </w:t>
      </w:r>
      <w:r w:rsidRPr="00F6362C">
        <w:rPr>
          <w:rFonts w:ascii="Times New Roman" w:eastAsia="Calibri" w:hAnsi="Times New Roman" w:cs="Times New Roman"/>
          <w:sz w:val="28"/>
          <w:szCs w:val="36"/>
          <w:lang w:eastAsia="ru-RU"/>
        </w:rPr>
        <w:t>муниципального образования «Смоленский муниципальный округ» Смоленской области</w:t>
      </w:r>
      <w:r w:rsidRPr="00F63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общем </w:t>
      </w:r>
      <w:r w:rsidRPr="00F63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 области составляет 9 %, по производству скота и птицы на убой – 2 %.</w:t>
      </w:r>
    </w:p>
    <w:p w:rsidR="00F6362C" w:rsidRPr="00F6362C" w:rsidRDefault="00F6362C" w:rsidP="00F636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62C">
        <w:rPr>
          <w:rFonts w:ascii="Times New Roman" w:eastAsia="Calibri" w:hAnsi="Times New Roman" w:cs="Times New Roman"/>
          <w:sz w:val="28"/>
          <w:szCs w:val="28"/>
        </w:rPr>
        <w:t>В 2024 году производство яиц составило 263,9 млн. шт. (</w:t>
      </w:r>
      <w:r w:rsidRPr="00F6362C">
        <w:rPr>
          <w:rFonts w:ascii="Times New Roman" w:eastAsia="Calibri" w:hAnsi="Times New Roman" w:cs="Times New Roman"/>
          <w:i/>
          <w:sz w:val="28"/>
          <w:szCs w:val="28"/>
        </w:rPr>
        <w:t>97,4 % к уровню предыдущего года</w:t>
      </w:r>
      <w:r w:rsidRPr="00F6362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6362C" w:rsidRPr="00F6362C" w:rsidRDefault="00F6362C" w:rsidP="00F636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62C">
        <w:rPr>
          <w:rFonts w:ascii="Times New Roman" w:eastAsia="Calibri" w:hAnsi="Times New Roman" w:cs="Times New Roman"/>
          <w:sz w:val="28"/>
          <w:szCs w:val="28"/>
        </w:rPr>
        <w:t xml:space="preserve">В текущем году планируемое валовое производство молока составит 14,3 тыс. тонн; производство скота и птицы – 1,65 тыс. тонн; производство яиц – 266,3 млн. шт. </w:t>
      </w:r>
    </w:p>
    <w:p w:rsidR="00F6362C" w:rsidRPr="00F6362C" w:rsidRDefault="00F6362C" w:rsidP="00F63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Таким образом, для повышения рентабельности и конкурентоспособности </w:t>
      </w:r>
      <w:r w:rsidRPr="00F63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сельского хозяйства сельскохозяйственные товаропроизводители </w:t>
      </w:r>
      <w:r w:rsidRPr="00F6362C">
        <w:rPr>
          <w:rFonts w:ascii="Times New Roman" w:eastAsia="Calibri" w:hAnsi="Times New Roman" w:cs="Times New Roman"/>
          <w:sz w:val="28"/>
          <w:szCs w:val="36"/>
          <w:lang w:eastAsia="ru-RU"/>
        </w:rPr>
        <w:t>муниципального образования «Смоленский муниципальный округ» Смоленской области</w:t>
      </w:r>
      <w:r w:rsidRPr="00F63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проводят техническое перевооружение. Ежегодно на эти цели направляется более 200 млн. рублей собственных и заемных средств сельскохозяйственных товаропроизводителей. При этом доля сельскохозяйственных организаций </w:t>
      </w:r>
      <w:r w:rsidRPr="00F6362C">
        <w:rPr>
          <w:rFonts w:ascii="Times New Roman" w:eastAsia="Calibri" w:hAnsi="Times New Roman" w:cs="Times New Roman"/>
          <w:sz w:val="28"/>
          <w:szCs w:val="36"/>
          <w:lang w:eastAsia="ru-RU"/>
        </w:rPr>
        <w:t>муниципального образования «Смоленский муниципальный округ» Смоленской области</w:t>
      </w:r>
      <w:r w:rsidRPr="00F63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затраченных денежных средствах на приобретение сельскохозяйственной техники в Смоленской области составляет 13 %.</w:t>
      </w:r>
    </w:p>
    <w:p w:rsidR="00D11DD2" w:rsidRDefault="00D11DD2" w:rsidP="00D11DD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FA5B49" wp14:editId="1C8CC5F4">
            <wp:extent cx="6534150" cy="33337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1DD2" w:rsidRDefault="00D11DD2" w:rsidP="00D11DD2">
      <w:pPr>
        <w:tabs>
          <w:tab w:val="left" w:pos="16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1DD2">
        <w:rPr>
          <w:rFonts w:ascii="Times New Roman" w:hAnsi="Times New Roman" w:cs="Times New Roman"/>
          <w:sz w:val="28"/>
          <w:szCs w:val="28"/>
        </w:rPr>
        <w:t>СТРОИТЕЛЬСТВО</w:t>
      </w:r>
    </w:p>
    <w:p w:rsidR="00D11DD2" w:rsidRPr="00D11DD2" w:rsidRDefault="00D11DD2" w:rsidP="00D11DD2">
      <w:pPr>
        <w:tabs>
          <w:tab w:val="left" w:pos="162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11DD2">
        <w:rPr>
          <w:rFonts w:ascii="Times New Roman" w:hAnsi="Times New Roman" w:cs="Times New Roman"/>
          <w:sz w:val="28"/>
          <w:szCs w:val="28"/>
        </w:rPr>
        <w:t>В прогнозном периоде индекс физического объема работ, выполненных по виду деятельности «Строительство» составит в 202</w:t>
      </w:r>
      <w:r w:rsidR="00F6362C">
        <w:rPr>
          <w:rFonts w:ascii="Times New Roman" w:hAnsi="Times New Roman" w:cs="Times New Roman"/>
          <w:sz w:val="28"/>
          <w:szCs w:val="28"/>
        </w:rPr>
        <w:t>6</w:t>
      </w:r>
      <w:r w:rsidRPr="00D11DD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6362C">
        <w:rPr>
          <w:rFonts w:ascii="Times New Roman" w:hAnsi="Times New Roman" w:cs="Times New Roman"/>
          <w:sz w:val="28"/>
          <w:szCs w:val="28"/>
        </w:rPr>
        <w:t>102,3</w:t>
      </w:r>
      <w:r w:rsidRPr="00D11DD2">
        <w:rPr>
          <w:rFonts w:ascii="Times New Roman" w:hAnsi="Times New Roman" w:cs="Times New Roman"/>
          <w:sz w:val="28"/>
          <w:szCs w:val="28"/>
        </w:rPr>
        <w:t xml:space="preserve"> процента, в 202</w:t>
      </w:r>
      <w:r w:rsidR="00F6362C">
        <w:rPr>
          <w:rFonts w:ascii="Times New Roman" w:hAnsi="Times New Roman" w:cs="Times New Roman"/>
          <w:sz w:val="28"/>
          <w:szCs w:val="28"/>
        </w:rPr>
        <w:t>7</w:t>
      </w:r>
      <w:r w:rsidRPr="00D11DD2">
        <w:rPr>
          <w:rFonts w:ascii="Times New Roman" w:hAnsi="Times New Roman" w:cs="Times New Roman"/>
          <w:sz w:val="28"/>
          <w:szCs w:val="28"/>
        </w:rPr>
        <w:t xml:space="preserve"> году – 10</w:t>
      </w:r>
      <w:r>
        <w:rPr>
          <w:rFonts w:ascii="Times New Roman" w:hAnsi="Times New Roman" w:cs="Times New Roman"/>
          <w:sz w:val="28"/>
          <w:szCs w:val="28"/>
        </w:rPr>
        <w:t>2,0</w:t>
      </w:r>
      <w:r w:rsidRPr="00D11DD2">
        <w:rPr>
          <w:rFonts w:ascii="Times New Roman" w:hAnsi="Times New Roman" w:cs="Times New Roman"/>
          <w:sz w:val="28"/>
          <w:szCs w:val="28"/>
        </w:rPr>
        <w:t xml:space="preserve"> процента, в 20</w:t>
      </w:r>
      <w:r w:rsidR="00F6362C">
        <w:rPr>
          <w:rFonts w:ascii="Times New Roman" w:hAnsi="Times New Roman" w:cs="Times New Roman"/>
          <w:sz w:val="28"/>
          <w:szCs w:val="28"/>
        </w:rPr>
        <w:t>28</w:t>
      </w:r>
      <w:r w:rsidRPr="00D11DD2">
        <w:rPr>
          <w:rFonts w:ascii="Times New Roman" w:hAnsi="Times New Roman" w:cs="Times New Roman"/>
          <w:sz w:val="28"/>
          <w:szCs w:val="28"/>
        </w:rPr>
        <w:t xml:space="preserve"> году – 102,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11DD2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185ABE" w:rsidRDefault="00D11DD2" w:rsidP="00185ABE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1DD2">
        <w:rPr>
          <w:rFonts w:ascii="Times New Roman" w:hAnsi="Times New Roman" w:cs="Times New Roman"/>
          <w:sz w:val="28"/>
          <w:szCs w:val="28"/>
        </w:rPr>
        <w:t xml:space="preserve">Ввод жилья по Смоленскому </w:t>
      </w:r>
      <w:r w:rsidR="003E5DF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11DD2">
        <w:rPr>
          <w:rFonts w:ascii="Times New Roman" w:hAnsi="Times New Roman" w:cs="Times New Roman"/>
          <w:sz w:val="28"/>
          <w:szCs w:val="28"/>
        </w:rPr>
        <w:t>у за 202</w:t>
      </w:r>
      <w:r w:rsidR="00F6362C">
        <w:rPr>
          <w:rFonts w:ascii="Times New Roman" w:hAnsi="Times New Roman" w:cs="Times New Roman"/>
          <w:sz w:val="28"/>
          <w:szCs w:val="28"/>
        </w:rPr>
        <w:t>4</w:t>
      </w:r>
      <w:r w:rsidRPr="00D11DD2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F6362C">
        <w:rPr>
          <w:rFonts w:ascii="Times New Roman" w:hAnsi="Times New Roman" w:cs="Times New Roman"/>
          <w:sz w:val="28"/>
          <w:szCs w:val="28"/>
        </w:rPr>
        <w:t>162 246</w:t>
      </w:r>
      <w:r w:rsidRPr="004214A7">
        <w:rPr>
          <w:rFonts w:ascii="Times New Roman" w:hAnsi="Times New Roman" w:cs="Times New Roman"/>
          <w:sz w:val="28"/>
          <w:szCs w:val="28"/>
        </w:rPr>
        <w:t xml:space="preserve"> </w:t>
      </w:r>
      <w:r w:rsidRPr="00D11DD2">
        <w:rPr>
          <w:rFonts w:ascii="Times New Roman" w:hAnsi="Times New Roman" w:cs="Times New Roman"/>
          <w:sz w:val="28"/>
          <w:szCs w:val="28"/>
        </w:rPr>
        <w:t xml:space="preserve">кв. метров общей площадью жилья, что составляет </w:t>
      </w:r>
      <w:r w:rsidR="00F6362C">
        <w:rPr>
          <w:rFonts w:ascii="Times New Roman" w:hAnsi="Times New Roman" w:cs="Times New Roman"/>
          <w:sz w:val="28"/>
          <w:szCs w:val="28"/>
        </w:rPr>
        <w:t>101,5</w:t>
      </w:r>
      <w:r w:rsidRPr="00D11DD2">
        <w:rPr>
          <w:rFonts w:ascii="Times New Roman" w:hAnsi="Times New Roman" w:cs="Times New Roman"/>
          <w:sz w:val="28"/>
          <w:szCs w:val="28"/>
        </w:rPr>
        <w:t xml:space="preserve"> % к соответствующему периоду 202</w:t>
      </w:r>
      <w:r w:rsidR="00F6362C">
        <w:rPr>
          <w:rFonts w:ascii="Times New Roman" w:hAnsi="Times New Roman" w:cs="Times New Roman"/>
          <w:sz w:val="28"/>
          <w:szCs w:val="28"/>
        </w:rPr>
        <w:t>3</w:t>
      </w:r>
      <w:r w:rsidRPr="00D11DD2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  <w:r w:rsidRPr="00D11DD2">
        <w:rPr>
          <w:rFonts w:ascii="Times New Roman" w:hAnsi="Times New Roman" w:cs="Times New Roman"/>
          <w:sz w:val="28"/>
          <w:szCs w:val="28"/>
        </w:rPr>
        <w:t xml:space="preserve"> </w:t>
      </w:r>
      <w:r w:rsidR="00185ABE" w:rsidRPr="004214A7">
        <w:rPr>
          <w:rFonts w:ascii="Times New Roman" w:hAnsi="Times New Roman" w:cs="Times New Roman"/>
          <w:sz w:val="28"/>
          <w:szCs w:val="28"/>
        </w:rPr>
        <w:t xml:space="preserve">По вводу жилья в эксплуатацию Смоленский </w:t>
      </w:r>
      <w:r w:rsidR="003E5DF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85ABE" w:rsidRPr="004214A7">
        <w:rPr>
          <w:rFonts w:ascii="Times New Roman" w:hAnsi="Times New Roman" w:cs="Times New Roman"/>
          <w:sz w:val="28"/>
          <w:szCs w:val="28"/>
        </w:rPr>
        <w:t xml:space="preserve"> занимает второе место.</w:t>
      </w:r>
      <w:r w:rsidR="00185A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1DD2">
        <w:rPr>
          <w:rFonts w:ascii="Times New Roman" w:hAnsi="Times New Roman" w:cs="Times New Roman"/>
          <w:sz w:val="28"/>
          <w:szCs w:val="28"/>
        </w:rPr>
        <w:t xml:space="preserve">Ввод жилья по Смоленскому </w:t>
      </w:r>
      <w:r w:rsidR="003E5DF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11DD2">
        <w:rPr>
          <w:rFonts w:ascii="Times New Roman" w:hAnsi="Times New Roman" w:cs="Times New Roman"/>
          <w:sz w:val="28"/>
          <w:szCs w:val="28"/>
        </w:rPr>
        <w:t>у за 202</w:t>
      </w:r>
      <w:r w:rsidR="00F6362C">
        <w:rPr>
          <w:rFonts w:ascii="Times New Roman" w:hAnsi="Times New Roman" w:cs="Times New Roman"/>
          <w:sz w:val="28"/>
          <w:szCs w:val="28"/>
        </w:rPr>
        <w:t>4</w:t>
      </w:r>
      <w:r w:rsidRPr="00D11DD2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F6362C">
        <w:rPr>
          <w:rFonts w:ascii="Times New Roman" w:hAnsi="Times New Roman" w:cs="Times New Roman"/>
          <w:sz w:val="28"/>
          <w:szCs w:val="28"/>
        </w:rPr>
        <w:t>32,8</w:t>
      </w:r>
      <w:r w:rsidRPr="00D11DD2">
        <w:rPr>
          <w:rFonts w:ascii="Times New Roman" w:hAnsi="Times New Roman" w:cs="Times New Roman"/>
          <w:sz w:val="28"/>
          <w:szCs w:val="28"/>
        </w:rPr>
        <w:t xml:space="preserve">% от объемов по </w:t>
      </w:r>
      <w:r w:rsidR="00185ABE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Pr="00D11DD2">
        <w:rPr>
          <w:rFonts w:ascii="Times New Roman" w:hAnsi="Times New Roman" w:cs="Times New Roman"/>
          <w:sz w:val="28"/>
          <w:szCs w:val="28"/>
        </w:rPr>
        <w:t>области</w:t>
      </w:r>
      <w:r w:rsidR="00185A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11DD2" w:rsidRDefault="00D11DD2" w:rsidP="00185ABE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DD2">
        <w:rPr>
          <w:rFonts w:ascii="Times New Roman" w:hAnsi="Times New Roman" w:cs="Times New Roman"/>
          <w:sz w:val="28"/>
          <w:szCs w:val="28"/>
        </w:rPr>
        <w:t>В 202</w:t>
      </w:r>
      <w:r w:rsidR="00F6362C">
        <w:rPr>
          <w:rFonts w:ascii="Times New Roman" w:hAnsi="Times New Roman" w:cs="Times New Roman"/>
          <w:sz w:val="28"/>
          <w:szCs w:val="28"/>
        </w:rPr>
        <w:t>6</w:t>
      </w:r>
      <w:r w:rsidRPr="00D11DD2">
        <w:rPr>
          <w:rFonts w:ascii="Times New Roman" w:hAnsi="Times New Roman" w:cs="Times New Roman"/>
          <w:sz w:val="28"/>
          <w:szCs w:val="28"/>
        </w:rPr>
        <w:t xml:space="preserve"> году планируется дальнейшее развитие жилищного строительства. </w:t>
      </w:r>
      <w:proofErr w:type="gramStart"/>
      <w:r w:rsidRPr="00D11DD2">
        <w:rPr>
          <w:rFonts w:ascii="Times New Roman" w:hAnsi="Times New Roman" w:cs="Times New Roman"/>
          <w:sz w:val="28"/>
          <w:szCs w:val="28"/>
        </w:rPr>
        <w:t>В 202</w:t>
      </w:r>
      <w:r w:rsidR="00F6362C">
        <w:rPr>
          <w:rFonts w:ascii="Times New Roman" w:hAnsi="Times New Roman" w:cs="Times New Roman"/>
          <w:sz w:val="28"/>
          <w:szCs w:val="28"/>
        </w:rPr>
        <w:t>6</w:t>
      </w:r>
      <w:r w:rsidRPr="00D11DD2">
        <w:rPr>
          <w:rFonts w:ascii="Times New Roman" w:hAnsi="Times New Roman" w:cs="Times New Roman"/>
          <w:sz w:val="28"/>
          <w:szCs w:val="28"/>
        </w:rPr>
        <w:t xml:space="preserve"> году планируется ввести  в эксплуатацию </w:t>
      </w:r>
      <w:r w:rsidR="00F6362C">
        <w:rPr>
          <w:rFonts w:ascii="Times New Roman" w:hAnsi="Times New Roman" w:cs="Times New Roman"/>
          <w:sz w:val="28"/>
          <w:szCs w:val="28"/>
        </w:rPr>
        <w:t>165,4</w:t>
      </w:r>
      <w:r w:rsidRPr="00D11DD2">
        <w:rPr>
          <w:rFonts w:ascii="Times New Roman" w:hAnsi="Times New Roman" w:cs="Times New Roman"/>
          <w:sz w:val="28"/>
          <w:szCs w:val="28"/>
        </w:rPr>
        <w:t xml:space="preserve"> тыс. кв. м. жилья, в 202</w:t>
      </w:r>
      <w:r w:rsidR="00F6362C">
        <w:rPr>
          <w:rFonts w:ascii="Times New Roman" w:hAnsi="Times New Roman" w:cs="Times New Roman"/>
          <w:sz w:val="28"/>
          <w:szCs w:val="28"/>
        </w:rPr>
        <w:t>7</w:t>
      </w:r>
      <w:r w:rsidRPr="00D11DD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6362C">
        <w:rPr>
          <w:rFonts w:ascii="Times New Roman" w:hAnsi="Times New Roman" w:cs="Times New Roman"/>
          <w:sz w:val="28"/>
          <w:szCs w:val="28"/>
        </w:rPr>
        <w:t>167,1</w:t>
      </w:r>
      <w:r w:rsidRPr="00D11DD2">
        <w:rPr>
          <w:rFonts w:ascii="Times New Roman" w:hAnsi="Times New Roman" w:cs="Times New Roman"/>
          <w:sz w:val="28"/>
          <w:szCs w:val="28"/>
        </w:rPr>
        <w:t xml:space="preserve"> тыс. кв. м. жилья,  в 202</w:t>
      </w:r>
      <w:r w:rsidR="00F6362C">
        <w:rPr>
          <w:rFonts w:ascii="Times New Roman" w:hAnsi="Times New Roman" w:cs="Times New Roman"/>
          <w:sz w:val="28"/>
          <w:szCs w:val="28"/>
        </w:rPr>
        <w:t>8</w:t>
      </w:r>
      <w:r w:rsidRPr="00D11DD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6362C">
        <w:rPr>
          <w:rFonts w:ascii="Times New Roman" w:hAnsi="Times New Roman" w:cs="Times New Roman"/>
          <w:sz w:val="28"/>
          <w:szCs w:val="28"/>
        </w:rPr>
        <w:t>168,8</w:t>
      </w:r>
      <w:r w:rsidRPr="00D11DD2">
        <w:rPr>
          <w:rFonts w:ascii="Times New Roman" w:hAnsi="Times New Roman" w:cs="Times New Roman"/>
          <w:sz w:val="28"/>
          <w:szCs w:val="28"/>
        </w:rPr>
        <w:t xml:space="preserve"> тыс. кв. м. жилья.</w:t>
      </w:r>
      <w:proofErr w:type="gramEnd"/>
    </w:p>
    <w:p w:rsidR="00185ABE" w:rsidRDefault="00185ABE" w:rsidP="00185ABE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ABE" w:rsidRPr="00185ABE" w:rsidRDefault="00185ABE" w:rsidP="00185ABE">
      <w:pPr>
        <w:tabs>
          <w:tab w:val="left" w:pos="16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5ABE">
        <w:rPr>
          <w:rFonts w:ascii="Times New Roman" w:hAnsi="Times New Roman" w:cs="Times New Roman"/>
          <w:sz w:val="28"/>
          <w:szCs w:val="28"/>
        </w:rPr>
        <w:t>ТОРГОВЛЯ И УСЛУГИ НАСЕЛЕНИЮ</w:t>
      </w:r>
    </w:p>
    <w:p w:rsidR="00185ABE" w:rsidRPr="00185ABE" w:rsidRDefault="00185ABE" w:rsidP="00185ABE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362C" w:rsidRPr="00F6362C" w:rsidRDefault="00F6362C" w:rsidP="00F636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Розничная торговля</w:t>
      </w:r>
    </w:p>
    <w:p w:rsidR="00F6362C" w:rsidRPr="00F6362C" w:rsidRDefault="00F6362C" w:rsidP="00F63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развития потребительского рынка товаров и услуг в среднесрочной перспективе учитывает влияние инфляционных процессов, роста реальных денежных доходов населения, а также изменение ситуации в банковском кредитовании.</w:t>
      </w:r>
    </w:p>
    <w:p w:rsidR="00F6362C" w:rsidRPr="00F6362C" w:rsidRDefault="00F6362C" w:rsidP="00F63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начало 2025 года на территории Смоленского муниципального округа осуществляли деятельность 357 предприятия розничной торговли, 83 предприятия общественного питания, 109 предприятий бытового обслуживания. </w:t>
      </w:r>
    </w:p>
    <w:p w:rsidR="00F6362C" w:rsidRPr="00F6362C" w:rsidRDefault="00F6362C" w:rsidP="00F63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площадь торговых объектов Смоленского муниципального округа по состоянию на 01.01.2025г. составила 23 619,9 кв. м., увеличилась по сравнению с прошлым годом  на 2 585,0 кв. м.</w:t>
      </w:r>
    </w:p>
    <w:p w:rsidR="00F6362C" w:rsidRPr="00F6362C" w:rsidRDefault="00F6362C" w:rsidP="00F63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ряда лет в округе наблюдается рост оборота розничной торговли и развитие инфраструктуры.</w:t>
      </w:r>
    </w:p>
    <w:p w:rsidR="00F6362C" w:rsidRPr="00F6362C" w:rsidRDefault="00F6362C" w:rsidP="00F63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оценке в 2025 году объем оборота розничной торговли по организациям, не относящимся к субъектам малого предпринимательства, с численностью работающих более 15 человек (включая средние организации) составит 6 476,7 млн. рублей, 106,6% к уровню 2024 года.</w:t>
      </w:r>
    </w:p>
    <w:p w:rsidR="00F6362C" w:rsidRPr="00F6362C" w:rsidRDefault="00F6362C" w:rsidP="00F63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торговли происходят качественные изменения. Развиваются прогрессивные формы торговли, такие как самообслуживание, продажа по предварительным заказам.</w:t>
      </w:r>
    </w:p>
    <w:p w:rsidR="00F6362C" w:rsidRPr="00F6362C" w:rsidRDefault="00F6362C" w:rsidP="00F63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2026 году в связи с ростом среднедушевых доходов ожидается прирост оборота розничной торговли на 106,1%, в 2027 году  на 104,1%, в 2028 году  </w:t>
      </w:r>
      <w:proofErr w:type="gramStart"/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103,9%.</w:t>
      </w:r>
    </w:p>
    <w:p w:rsidR="00F6362C" w:rsidRPr="00F6362C" w:rsidRDefault="00F6362C" w:rsidP="00F63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Товарная обеспеченность торговой сети Смоленского муниципального округа продовольственными и промышленными товарами по-прежнему сохранится на достойном уровне. Платежеспособный спрос населения на важнейшие продукты питания и промышленные товары будет удовлетворяться в полной мере.</w:t>
      </w:r>
    </w:p>
    <w:p w:rsidR="00F6362C" w:rsidRPr="00F6362C" w:rsidRDefault="00F6362C" w:rsidP="00F63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Жителей отдаленных малонаселенных деревень, где нет стационарных торговых точек, обслуживают 2 автомагазина </w:t>
      </w:r>
      <w:proofErr w:type="gramStart"/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Смоленского</w:t>
      </w:r>
      <w:proofErr w:type="gramEnd"/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райпо</w:t>
      </w:r>
      <w:proofErr w:type="spellEnd"/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индивидуальные предприниматели. </w:t>
      </w:r>
    </w:p>
    <w:p w:rsidR="00F6362C" w:rsidRPr="00F6362C" w:rsidRDefault="00F6362C" w:rsidP="00F63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62C" w:rsidRPr="00F6362C" w:rsidRDefault="00F6362C" w:rsidP="00F63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Платные услуги</w:t>
      </w:r>
    </w:p>
    <w:p w:rsidR="00F6362C" w:rsidRPr="00F6362C" w:rsidRDefault="00F6362C" w:rsidP="00F63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оценке 2025 года объем платных услуг населению по организациям, не относящимся к субъектам малого предпринимательства, с численностью работающих более 15 человек (включая средние организации) составит 363,6 млн. рублей, что в сопоставимых ценах составляет 103,4% к уровню прошлого года.</w:t>
      </w:r>
    </w:p>
    <w:p w:rsidR="00F6362C" w:rsidRPr="00F6362C" w:rsidRDefault="00F6362C" w:rsidP="00F636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2026 году планируется оказать услуг населению в объеме 397,3 млн. руб., что в сопоставимых ценах к соответствующему периоду прошлого года составит 103,0%. Общая динамика развития рынка услуг определяется потребительским поведением населения на рынке жилищно-коммунальных, транспортных и отдельных видов бытовых услуг, являющихся социально значимыми.</w:t>
      </w:r>
    </w:p>
    <w:p w:rsidR="00F6362C" w:rsidRPr="00F6362C" w:rsidRDefault="00F6362C" w:rsidP="00F636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прогнозу в 2027 году ожидается увеличение объема реализации платных услуг населению до 426,8 млн. руб., в 2028 году – до 456,3 млн. руб. и сохранится позитивная динамика развития данного рынка.</w:t>
      </w:r>
    </w:p>
    <w:p w:rsidR="00185ABE" w:rsidRPr="00185ABE" w:rsidRDefault="00F6362C" w:rsidP="00185AB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58D6F83" wp14:editId="0DFBD2C7">
            <wp:extent cx="6096000" cy="24669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5ABE" w:rsidRDefault="00185ABE" w:rsidP="00185ABE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362C" w:rsidRPr="00F6362C" w:rsidRDefault="00F6362C" w:rsidP="00F6362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различные тенденции развития отдельных видов услуг, видовая структура не претерпит значительных изменений. По-прежнему основную долю – 82%  от общего объема расходов населения на услуги будет </w:t>
      </w:r>
      <w:proofErr w:type="gramStart"/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</w:t>
      </w:r>
      <w:proofErr w:type="gramEnd"/>
      <w:r w:rsidRPr="00F6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«обязательные» услуги  (жилищно-коммунальные, услуги пассажирского транспорта и бытовые услуги), около 18% - на услуги реализуемые в сфере культуры, образования, туристические, санаторно-оздоровительные, медицинские услуги, ветеринарные и прочие.</w:t>
      </w:r>
    </w:p>
    <w:p w:rsidR="00F6362C" w:rsidRDefault="00F6362C" w:rsidP="00185ABE">
      <w:pPr>
        <w:tabs>
          <w:tab w:val="left" w:pos="16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85ABE" w:rsidRDefault="00185ABE" w:rsidP="00185ABE">
      <w:pPr>
        <w:tabs>
          <w:tab w:val="left" w:pos="16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5ABE">
        <w:rPr>
          <w:rFonts w:ascii="Times New Roman" w:hAnsi="Times New Roman" w:cs="Times New Roman"/>
          <w:sz w:val="28"/>
          <w:szCs w:val="28"/>
        </w:rPr>
        <w:t>МАЛОЕ И СРЕДНЕЕ ПРЕДПРИНИМАТЕЛЬСТВО</w:t>
      </w:r>
    </w:p>
    <w:p w:rsidR="00F6362C" w:rsidRPr="001E5625" w:rsidRDefault="00F6362C" w:rsidP="00F6362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25">
        <w:rPr>
          <w:rFonts w:ascii="Times New Roman" w:hAnsi="Times New Roman" w:cs="Times New Roman"/>
          <w:sz w:val="28"/>
          <w:szCs w:val="28"/>
        </w:rPr>
        <w:t>Согласно единому реестру субъектов малого и среднего предпринимательства Федеральной налоговой службы на начало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5625"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«Смоленский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1E5625">
        <w:rPr>
          <w:rFonts w:ascii="Times New Roman" w:hAnsi="Times New Roman" w:cs="Times New Roman"/>
          <w:sz w:val="28"/>
          <w:szCs w:val="28"/>
        </w:rPr>
        <w:t xml:space="preserve">» Смоленской области насчитывалось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B0700">
        <w:rPr>
          <w:rFonts w:ascii="Times New Roman" w:hAnsi="Times New Roman" w:cs="Times New Roman"/>
          <w:sz w:val="28"/>
          <w:szCs w:val="28"/>
        </w:rPr>
        <w:t xml:space="preserve">19 </w:t>
      </w:r>
      <w:r w:rsidRPr="001E5625">
        <w:rPr>
          <w:rFonts w:ascii="Times New Roman" w:hAnsi="Times New Roman" w:cs="Times New Roman"/>
          <w:sz w:val="28"/>
          <w:szCs w:val="28"/>
        </w:rPr>
        <w:t xml:space="preserve">малых и средних предприятий, включая </w:t>
      </w:r>
      <w:proofErr w:type="spellStart"/>
      <w:r w:rsidRPr="001E5625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1E5625">
        <w:rPr>
          <w:rFonts w:ascii="Times New Roman" w:hAnsi="Times New Roman" w:cs="Times New Roman"/>
          <w:sz w:val="28"/>
          <w:szCs w:val="28"/>
        </w:rPr>
        <w:t>. Среднесписочная численность занятых на малых и средних предприятиях по итогам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E5625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FB0700">
        <w:rPr>
          <w:rFonts w:ascii="Times New Roman" w:hAnsi="Times New Roman" w:cs="Times New Roman"/>
          <w:sz w:val="28"/>
          <w:szCs w:val="28"/>
        </w:rPr>
        <w:t>5,741</w:t>
      </w:r>
      <w:r w:rsidRPr="001E5625">
        <w:rPr>
          <w:rFonts w:ascii="Times New Roman" w:hAnsi="Times New Roman" w:cs="Times New Roman"/>
          <w:sz w:val="28"/>
          <w:szCs w:val="28"/>
        </w:rPr>
        <w:t xml:space="preserve"> тыс. человек.</w:t>
      </w:r>
    </w:p>
    <w:p w:rsidR="00F6362C" w:rsidRPr="001E5625" w:rsidRDefault="00F6362C" w:rsidP="00F6362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25">
        <w:rPr>
          <w:rFonts w:ascii="Times New Roman" w:hAnsi="Times New Roman" w:cs="Times New Roman"/>
          <w:sz w:val="28"/>
          <w:szCs w:val="28"/>
        </w:rPr>
        <w:t xml:space="preserve">В общем числе 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преобладает </w:t>
      </w:r>
      <w:r w:rsidRPr="001E5625">
        <w:rPr>
          <w:rFonts w:ascii="Times New Roman" w:hAnsi="Times New Roman" w:cs="Times New Roman"/>
          <w:sz w:val="28"/>
          <w:szCs w:val="28"/>
        </w:rPr>
        <w:t xml:space="preserve">доля субъектов малого предпринимательства в непроизводственной сфере деятельности (оптовая и розничная торговля – </w:t>
      </w:r>
      <w:r>
        <w:rPr>
          <w:rFonts w:ascii="Times New Roman" w:hAnsi="Times New Roman" w:cs="Times New Roman"/>
          <w:sz w:val="28"/>
          <w:szCs w:val="28"/>
        </w:rPr>
        <w:t>31,0</w:t>
      </w:r>
      <w:r w:rsidRPr="001E5625">
        <w:rPr>
          <w:rFonts w:ascii="Times New Roman" w:hAnsi="Times New Roman" w:cs="Times New Roman"/>
          <w:sz w:val="28"/>
          <w:szCs w:val="28"/>
        </w:rPr>
        <w:t>% от общего количества).</w:t>
      </w:r>
    </w:p>
    <w:p w:rsidR="00FB0700" w:rsidRPr="001E5625" w:rsidRDefault="00FB0700" w:rsidP="00FB0700">
      <w:pPr>
        <w:widowControl w:val="0"/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E5625">
        <w:rPr>
          <w:rFonts w:ascii="Times New Roman" w:hAnsi="Times New Roman" w:cs="Times New Roman"/>
          <w:snapToGrid w:val="0"/>
          <w:sz w:val="28"/>
          <w:szCs w:val="28"/>
        </w:rPr>
        <w:t>Прогноз развития малого и среднего предпринимательства на 202</w:t>
      </w:r>
      <w:r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1E5625">
        <w:rPr>
          <w:rFonts w:ascii="Times New Roman" w:hAnsi="Times New Roman" w:cs="Times New Roman"/>
          <w:snapToGrid w:val="0"/>
          <w:sz w:val="28"/>
          <w:szCs w:val="28"/>
        </w:rPr>
        <w:t xml:space="preserve"> год и на период до 202</w:t>
      </w:r>
      <w:r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Pr="001E5625">
        <w:rPr>
          <w:rFonts w:ascii="Times New Roman" w:hAnsi="Times New Roman" w:cs="Times New Roman"/>
          <w:snapToGrid w:val="0"/>
          <w:sz w:val="28"/>
          <w:szCs w:val="28"/>
        </w:rPr>
        <w:t xml:space="preserve"> года рассчитан на основании анализа статистических данных, индексов-дефляторов, оценки развития малого предпринимательства в 202</w:t>
      </w:r>
      <w:r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1E5625">
        <w:rPr>
          <w:rFonts w:ascii="Times New Roman" w:hAnsi="Times New Roman" w:cs="Times New Roman"/>
          <w:snapToGrid w:val="0"/>
          <w:sz w:val="28"/>
          <w:szCs w:val="28"/>
        </w:rPr>
        <w:t xml:space="preserve"> году.</w:t>
      </w:r>
    </w:p>
    <w:p w:rsidR="00FB0700" w:rsidRPr="001E5625" w:rsidRDefault="00FB0700" w:rsidP="00FB0700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>Число предприятий малого и среднего предпринимательства в 202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5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году по прогнозным данным составит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910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единиц, а к 202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8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году увеличится до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937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единиц. Число предприятий розничной и оптовой торговли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20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году составило </w:t>
      </w:r>
      <w:r w:rsidRPr="001E5625">
        <w:rPr>
          <w:rFonts w:ascii="Times New Roman" w:hAnsi="Times New Roman" w:cs="Times New Roman"/>
          <w:snapToGrid w:val="0"/>
          <w:sz w:val="28"/>
          <w:szCs w:val="28"/>
        </w:rPr>
        <w:t>2</w:t>
      </w:r>
      <w:r>
        <w:rPr>
          <w:rFonts w:ascii="Times New Roman" w:hAnsi="Times New Roman" w:cs="Times New Roman"/>
          <w:snapToGrid w:val="0"/>
          <w:sz w:val="28"/>
          <w:szCs w:val="28"/>
        </w:rPr>
        <w:t>90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единиц, по оценке в 20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25 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планируется 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napToGrid w:val="0"/>
          <w:sz w:val="28"/>
          <w:szCs w:val="28"/>
        </w:rPr>
        <w:t>293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увеличение числа предприятий связано с расширением  и развитием торговли. </w:t>
      </w:r>
    </w:p>
    <w:p w:rsidR="00185ABE" w:rsidRPr="00185ABE" w:rsidRDefault="00185ABE" w:rsidP="00185ABE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ABE" w:rsidRPr="00185ABE" w:rsidRDefault="00FB0700" w:rsidP="00185AB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62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E3E495" wp14:editId="27C4F8D4">
            <wp:extent cx="6337005" cy="4082903"/>
            <wp:effectExtent l="38100" t="0" r="64135" b="1333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85ABE" w:rsidRPr="00185ABE" w:rsidRDefault="00185ABE" w:rsidP="00185ABE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0700" w:rsidRPr="001E5625" w:rsidRDefault="00FB0700" w:rsidP="00FB0700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году численность занятых на малых и средних предприятиях оценивается на уровне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5,741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тыс. человек, в 202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8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году численность р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аботников 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прогнозируется на уровне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6,094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тыс. человек.</w:t>
      </w:r>
    </w:p>
    <w:p w:rsidR="00FB0700" w:rsidRPr="001E5625" w:rsidRDefault="00FB0700" w:rsidP="00FB0700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Индекс производства малых и средних предприятий на протяжении прогнозируемого периода будет иметь положительную динамику.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увеличиваться с 38,713 млрд. руб. в 2024 году до 49,683 млрд. руб. к 2028 году. </w:t>
      </w:r>
      <w:r w:rsidRPr="001E562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Прогнозируемый рост оборота малых и средних предприятий связан с ожидаемым ростом потребительского спроса, поддержанным увеличением денежных доходов населения.</w:t>
      </w:r>
    </w:p>
    <w:p w:rsidR="00185ABE" w:rsidRDefault="00185ABE" w:rsidP="00185ABE">
      <w:pPr>
        <w:tabs>
          <w:tab w:val="left" w:pos="16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ИНВЕСТИЦИИ</w:t>
      </w:r>
    </w:p>
    <w:p w:rsid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развития инвестиционной деятельности на период 2025-2028 гг. разработан на основе данных предприятий и организаций, осуществляющих деятельность на территории муниципального образования «Смоленский муниципальный округ» Смоленской области о планируемых на указанный период объемах инвестиций в основной капитал, а также с учетом реализации на территории муниципального образования «Смоленский муниципальный округ» Смоленской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проектов.</w:t>
      </w:r>
      <w:proofErr w:type="gramEnd"/>
    </w:p>
    <w:p w:rsid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инвестиций в основной капитал по полному кругу организаций в 2025 году оценивается на уровне 4389,860  млн. руб., или 101,7  к  2024году. В 2026 году темпы роста инвестиций планируются на уровне 100,9 %, в 2027 году – 99,7 %, в  2028 году – 103,5%. 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денежном выражении объем инвестиций в основной капитал за счет всех источников финансирования в 2025 году прогнозируется на уровне 4296,860 млн. руб., в 2026 году – 4337,505  млн. руб., в 2027году – 4148,261  млн. руб., в 2028 году – 4313,485 млн. рублей. </w:t>
      </w:r>
    </w:p>
    <w:p w:rsidR="00FB0700" w:rsidRPr="00FB0700" w:rsidRDefault="00FB0700" w:rsidP="00FB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ABE" w:rsidRDefault="0093072E" w:rsidP="0093072E">
      <w:pPr>
        <w:pStyle w:val="a9"/>
        <w:suppressAutoHyphens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F78670" wp14:editId="2DED4EF4">
            <wp:extent cx="6429375" cy="32004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072E" w:rsidRDefault="0093072E" w:rsidP="00185ABE">
      <w:pPr>
        <w:pStyle w:val="a9"/>
        <w:suppressAutoHyphens/>
        <w:ind w:left="0" w:firstLine="709"/>
        <w:jc w:val="both"/>
        <w:rPr>
          <w:sz w:val="28"/>
          <w:szCs w:val="28"/>
        </w:rPr>
      </w:pPr>
    </w:p>
    <w:p w:rsidR="00FB0700" w:rsidRPr="00FB0700" w:rsidRDefault="00FB0700" w:rsidP="00FB07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Сельское, лесное хозяйство, охота, рыболовство и рыбоводство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основной объем инвестиций</w:t>
      </w:r>
      <w:r w:rsidRPr="00FB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 сельского хозяйства обеспечен  ООО «Птицефабрика «Сметанино» за счет собственных средств и привлеченных средств. ООО «Птицефабрика «Сметанино» реализует инвестиционный проект, в</w:t>
      </w:r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рамках которого ведется расширение посевных площадей для выращивания кормовых культур, а также с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 объектов животноводства – строительство птичников №7,№8, модернизация цеха сбора, сортировки и упаковки яиц, а также приобретение оборудования (яйце сортировочная машина, клеточное оборудование, системы автоматики и т.д.).</w:t>
      </w:r>
    </w:p>
    <w:p w:rsidR="00FB0700" w:rsidRPr="00FB0700" w:rsidRDefault="00FB0700" w:rsidP="00FB07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Козинский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тепличный комбинат» - объем инвестиций обеспечен за счет собственных средств – приобретение оборудования для складов и теплиц, сельскохозяйственной техники и хозяйственного инвентаря и т.д. </w:t>
      </w:r>
    </w:p>
    <w:p w:rsidR="00FB0700" w:rsidRPr="00FB0700" w:rsidRDefault="00FB0700" w:rsidP="00FB07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ООО «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Козинский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тепличный комбинат» реализует инвестиционный проект </w:t>
      </w: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строительству ряда современных модульных картофелехранилищ. Новые склады позволят сохранять овощи на протяжении всего года, вплоть до нового урожая, и обеспечивать население и социальные учреждения качественным картофелем от смоленских производителей в период его сезонного дефицита. Реализация проекта проходит поэтапно.</w:t>
      </w:r>
    </w:p>
    <w:p w:rsidR="00FB0700" w:rsidRPr="00FB0700" w:rsidRDefault="00FB0700" w:rsidP="00FB07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«Смоленское по племенной работе» </w:t>
      </w:r>
      <w:proofErr w:type="gram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«Новое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Замощье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объем инвестиций обеспечен за счет собственных средств - приобретение оборудования, хозяйственного инвентаря, перевод нетелей в основное стадо и т.д.</w:t>
      </w:r>
    </w:p>
    <w:p w:rsidR="00FB0700" w:rsidRPr="00FB0700" w:rsidRDefault="00FB0700" w:rsidP="00FB0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Обрабатывающее производство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 производителем мебельной и шторной фурнитуры,  как из металла, так и из пластика (ручки, скобы,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кнопки и т.д.) - ООО «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Алди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которое проводит </w:t>
      </w:r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техническое перевооружение с целью увеличения объемов производства и освоения новых видов продукции, а также расширение производственных площадей.</w:t>
      </w:r>
    </w:p>
    <w:p w:rsidR="00FB0700" w:rsidRPr="00FB0700" w:rsidRDefault="00FB0700" w:rsidP="00FB0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Юнипроф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- единственное в России предприятие, которое выпускает всю номенклатуру пластиковых комплектующих для светозащитных систем. В 2023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году предприятие </w:t>
      </w:r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начало строительство второй очереди производственно-складского здания, реализация инвестиционного проекта позволит увеличить производственные мощности на 30%.</w:t>
      </w:r>
    </w:p>
    <w:p w:rsidR="00FB0700" w:rsidRPr="00FB0700" w:rsidRDefault="00FB0700" w:rsidP="00FB070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электрической энергией, газом и паром; кондиционирование воздуха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основной объем инвестиций</w:t>
      </w:r>
      <w:r w:rsidRPr="00FB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</w:t>
      </w:r>
      <w:r w:rsidRPr="00FB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Филиалом ПАО «МРСК Центра-Смоленскэнерго» -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техперевооружение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ПС, модернизация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ПС, строительство ТП, а также технологическое присоединение потребителей и АО "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Газпромраспределение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Смоленск" - проводится работа по газификации </w:t>
      </w:r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>населенных пунктов Смоленского округа Смоленской области.</w:t>
      </w:r>
    </w:p>
    <w:p w:rsidR="00FB0700" w:rsidRPr="00FB0700" w:rsidRDefault="00FB0700" w:rsidP="00FB070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развития района проводятся работы по </w:t>
      </w:r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>уличному освещению населенных пунктов Смоленского округа Смоленской области.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2025-2026 </w:t>
      </w:r>
      <w:proofErr w:type="spellStart"/>
      <w:proofErr w:type="gram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proofErr w:type="gram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строительство трансформаторной подстанции 110/10кВ мощностью 2х40МВА на территории особой экономической зоне промышленно-производственного типа "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Стабна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рамках программы модернизации коммунальной инфраструктуры до конца 2025 года в деревне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Кощино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Смоленского округа планируется построить современную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блочно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-модульную котельную. Котельная будет возведена по федеральной программе, реализуемой при содействии Фонда развития территорий. Реализация этого проекта значительно повысит качество коммунальных услуг для жителей.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Водоснабжение; водоотведение, организация сбора и утилизации отходов, деятельность по ликвидации загрязнений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  </w:t>
      </w:r>
      <w:r w:rsidRPr="00FB070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реализации областной государственной программы « Охрана окружающей среды и рациональное использование природных ресурсов в Смоленской области на 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запланировано строительство и оборудование контейнерных площадок(д. Гор-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Аполье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Горбуны, д.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Дегтяри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Донец, д. Дубровка, д.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Кадище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Купелище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Михалково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ереезд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д.Солошино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Холковичи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Чернея, д. Сыр-Липки).</w:t>
      </w:r>
    </w:p>
    <w:p w:rsidR="00FB0700" w:rsidRPr="00FB0700" w:rsidRDefault="00FB0700" w:rsidP="00FB070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FB070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В рамках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в 2025-2026 году запланировано строительство станции водоподготовки и водопроводных сетей в д. </w:t>
      </w:r>
      <w:proofErr w:type="spellStart"/>
      <w:r w:rsidRPr="00FB070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Кощино</w:t>
      </w:r>
      <w:proofErr w:type="spellEnd"/>
      <w:r w:rsidRPr="00FB070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Смоленского округа.</w:t>
      </w:r>
    </w:p>
    <w:p w:rsidR="00FB0700" w:rsidRPr="00FB0700" w:rsidRDefault="00FB0700" w:rsidP="00FB0700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региональной программы 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систем коммунальной инфраструктуры»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в Смоленском округе ведется работа по разработке проектно-сметной документации на ряд объектов коммунального хозяйства:</w:t>
      </w:r>
    </w:p>
    <w:p w:rsidR="00FB0700" w:rsidRPr="00FB0700" w:rsidRDefault="00FB0700" w:rsidP="00FB0700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строительство сети водоснабжения в д.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Цыбульники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0700" w:rsidRPr="00FB0700" w:rsidRDefault="00FB0700" w:rsidP="00FB0700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строительство биологических очистных сооружений производительностью 80 куб. м/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дер.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Каспля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700" w:rsidRPr="00FB0700" w:rsidRDefault="00FB0700" w:rsidP="00FB07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биологических очистных сооружений производительностью 80 куб. м/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дер.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Каспля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на 2026-2027 гг.</w:t>
      </w:r>
    </w:p>
    <w:p w:rsidR="00FB0700" w:rsidRPr="00FB0700" w:rsidRDefault="00FB0700" w:rsidP="00FB070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>На период 2025-2028гг. запланированы следующие мероприятия:</w:t>
      </w:r>
    </w:p>
    <w:p w:rsidR="00FB0700" w:rsidRPr="00FB0700" w:rsidRDefault="00FB0700" w:rsidP="00FB07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разработка проектно-сметной документации и строительство объекта «Строительство водопровода в д. </w:t>
      </w:r>
      <w:proofErr w:type="spellStart"/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>Купники</w:t>
      </w:r>
      <w:proofErr w:type="spellEnd"/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>Дивасовского</w:t>
      </w:r>
      <w:proofErr w:type="spellEnd"/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области». </w:t>
      </w:r>
    </w:p>
    <w:p w:rsidR="00FB0700" w:rsidRPr="00FB0700" w:rsidRDefault="00FB0700" w:rsidP="00FB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представлен ЗАО ПК фирма «РБДС», которая планирует  приобретение</w:t>
      </w:r>
      <w:r w:rsidRPr="00FB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дорожно-строительной техники  за счет собственных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</w:t>
      </w:r>
      <w:proofErr w:type="gram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едприятия. ЗАО ПКФ «РБДС» принимает активное участие в реализации Национального проекта "Безопасные и качественные автомобильные дороги".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Pr="00FB07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Торговля оптовая и розничная; ремонт автотранспортных средств и мотоциклов».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2025-2028 гг.  приобретение оборудования за счет собственных средств планирует Смоленское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Смоленский филиал ОАО «НК «Роснефть» </w:t>
      </w:r>
      <w:proofErr w:type="gram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spellStart"/>
      <w:proofErr w:type="gram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Смоленскнефтепродукт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Славяна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планируют приобретение автотранспорта за счет собственных средств.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«Сеть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Агромаркетов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«ЛБР-Русь»  планируют приобретение сельскохозяйственной техники за счет собственных и привлеченных средств.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«Транспортировка и хранение» 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объем инвестиций приходится, на закупку грузового автомобильного автотранспорта  организациями,  осуществляющими деятельность по транспортировке и хранению. </w:t>
      </w:r>
    </w:p>
    <w:p w:rsidR="00FB0700" w:rsidRPr="00FB0700" w:rsidRDefault="00FB0700" w:rsidP="00FB07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период 2025-2028 гг. часть транспортных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компаний планируют постепенное обновление автопарка.</w:t>
      </w:r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БМТранс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Миртранс</w:t>
      </w:r>
      <w:proofErr w:type="gramStart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,О</w:t>
      </w:r>
      <w:proofErr w:type="gramEnd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Траско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ООО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РедЛайн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ООО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СтронгЛайн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FB0700" w:rsidRPr="00FB0700" w:rsidRDefault="00FB0700" w:rsidP="00FB07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Рустрансавто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2023 году проведено обновление большей части автотранспортного парка – за период с начала 2023 года приобретено более 80 единиц техники. В 2025-2028 гг. запланировано постепенное обновление автотранспортного парка. 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период 2027-2028 гг.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«Управление автомобильных магистралей Москва-Бобруйск» Федерального дорожного агентства и СОГБУ  «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СмоленскАвтодор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 планирует обустройство элементов </w:t>
      </w:r>
      <w:r w:rsidRPr="00FB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повышения безопасности (освещение, переходы, светофоры)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 «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управление и обеспечение военной безопасности; обязательное социальное обеспечение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Администрация округа планирует укрепление материально-технической базы.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 «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СОГБПОУ «Техникум отраслевых технологий» и образовательные учреждения района 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планируют укрепление материально-технической базы.</w:t>
      </w:r>
    </w:p>
    <w:p w:rsidR="00FB0700" w:rsidRPr="00FB0700" w:rsidRDefault="00FB0700" w:rsidP="00FB07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2024-2026 гг. запланировано строительство образовательного центра «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Техношколв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Феникс» рассчитанного на 726 учащихся и расположится на участке площадью около 2 га </w:t>
      </w:r>
      <w:proofErr w:type="gram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Печерск</w:t>
      </w:r>
      <w:proofErr w:type="spell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реализацию проекта будет привлечено 1,5 млрд. рублей. Завершить строительство образовательного центра планируется к концу 2026 года.</w:t>
      </w:r>
    </w:p>
    <w:p w:rsidR="00FB0700" w:rsidRPr="00FB0700" w:rsidRDefault="00FB0700" w:rsidP="00FB0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2027-2028 гг. запланировано строительство</w:t>
      </w:r>
      <w:r w:rsidRPr="00FB07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детского дошкольного учреждения на 240 мест в </w:t>
      </w:r>
      <w:proofErr w:type="spellStart"/>
      <w:r w:rsidRPr="00FB07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мкр</w:t>
      </w:r>
      <w:proofErr w:type="spellEnd"/>
      <w:r w:rsidRPr="00FB07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"Печерский парк"  с. </w:t>
      </w:r>
      <w:proofErr w:type="spellStart"/>
      <w:r w:rsidRPr="00FB07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Печерск</w:t>
      </w:r>
      <w:proofErr w:type="spellEnd"/>
      <w:r w:rsidRPr="00FB07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 «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в области здравоохранения и социальных услуг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ОГБУЗ "Смоленский детский санаторий "Мать и дитя" и ФКУЗ "Санаторий" Борок" МВД РОССИИ  в 2025-2028 гг. - укрепление материально-технической базы (приобретение оборудования и мебели).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ОГБУЗ "</w:t>
      </w:r>
      <w:proofErr w:type="gramStart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</w:t>
      </w:r>
      <w:proofErr w:type="gramEnd"/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ЦРБ" в 2025-2028 гг. укрепление материально-технической базы (приобретение  медицинского оборудования и мебели). 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FB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Деятельность в области культуры, спорта, организации досуга и развлечений» 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период 2025 – 2028 гг. учреждениями культуры и спорта запланировано</w:t>
      </w:r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07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укрепление материально-технической базы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приобретение музыкальной и световой аппаратуры</w:t>
      </w: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мебели, </w:t>
      </w: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спортивного инвентаря).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2025 год запланированы следующие мероприятия: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устройство детской игровой площадки с. </w:t>
      </w:r>
      <w:proofErr w:type="spellStart"/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Катынь</w:t>
      </w:r>
      <w:proofErr w:type="spellEnd"/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устройство детской игровой площадки д. Новые </w:t>
      </w:r>
      <w:proofErr w:type="spellStart"/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Батеки</w:t>
      </w:r>
      <w:proofErr w:type="spellEnd"/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-</w:t>
      </w:r>
      <w:r w:rsidRPr="00FB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устройство детской игровой площадки д. Быльники;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B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устройство и оснащение площадки ГТО д. </w:t>
      </w:r>
      <w:proofErr w:type="spellStart"/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Богородицкое</w:t>
      </w:r>
      <w:proofErr w:type="spellEnd"/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реализацию мероприятий по благоустройству сельских территорий на 2025 год запланировано - благоустройство зоны отдыха, расположенной по адресу: </w:t>
      </w:r>
      <w:proofErr w:type="spellStart"/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Start"/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.П</w:t>
      </w:r>
      <w:proofErr w:type="gramEnd"/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ечерск</w:t>
      </w:r>
      <w:proofErr w:type="spellEnd"/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ул. Минская д.36.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период  2026-2027гг запланированы </w:t>
      </w:r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мероприятия: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устройство и оснащение площадок ГТО.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период  2026-2027гг запланированы </w:t>
      </w:r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мероприятия: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070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B07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создание модульных спортивных сооружений ("Умная" спортивная площадка).</w:t>
      </w:r>
    </w:p>
    <w:p w:rsidR="00FB0700" w:rsidRPr="00FB0700" w:rsidRDefault="00FB0700" w:rsidP="00FB07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на территории района осуществляют деятельность предприятия, относящиеся к субъектам малого предпринимательства, а также предприятия, осуществляющие реализацию инвестиционных проектов на территории муниципального образования «Смоленский муниципальный округ» Смоленской области.  </w:t>
      </w:r>
    </w:p>
    <w:p w:rsidR="00185ABE" w:rsidRDefault="00185ABE" w:rsidP="00185ABE">
      <w:pPr>
        <w:tabs>
          <w:tab w:val="left" w:pos="16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>БЮДЖЕТ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 xml:space="preserve">Поступление доходов в бюджет Смоленского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Смоленской области в 2025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оценивается в сумме </w:t>
      </w:r>
      <w:r>
        <w:rPr>
          <w:rFonts w:ascii="Times New Roman" w:hAnsi="Times New Roman" w:cs="Times New Roman"/>
          <w:sz w:val="28"/>
          <w:szCs w:val="28"/>
        </w:rPr>
        <w:t>2 257,1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рублей, что на </w:t>
      </w:r>
      <w:r>
        <w:rPr>
          <w:rFonts w:ascii="Times New Roman" w:hAnsi="Times New Roman" w:cs="Times New Roman"/>
          <w:sz w:val="28"/>
          <w:szCs w:val="28"/>
        </w:rPr>
        <w:t>121,7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 или на</w:t>
      </w:r>
      <w:r>
        <w:rPr>
          <w:rFonts w:ascii="Times New Roman" w:hAnsi="Times New Roman" w:cs="Times New Roman"/>
          <w:sz w:val="28"/>
          <w:szCs w:val="28"/>
        </w:rPr>
        <w:t xml:space="preserve"> 5,1 процентов ниже уровня 2024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sz w:val="28"/>
          <w:szCs w:val="28"/>
        </w:rPr>
        <w:t>2 378,8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рублей).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 xml:space="preserve">Поступление налоговых и неналоговых доходов в бюджет Смоленского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в 2025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B0F">
        <w:rPr>
          <w:rFonts w:ascii="Times New Roman" w:hAnsi="Times New Roman" w:cs="Times New Roman"/>
          <w:sz w:val="28"/>
          <w:szCs w:val="28"/>
        </w:rPr>
        <w:t xml:space="preserve"> оценивается в сумме </w:t>
      </w:r>
      <w:r>
        <w:rPr>
          <w:rFonts w:ascii="Times New Roman" w:hAnsi="Times New Roman" w:cs="Times New Roman"/>
          <w:sz w:val="28"/>
          <w:szCs w:val="28"/>
        </w:rPr>
        <w:t>1 118,9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рублей, что на </w:t>
      </w:r>
      <w:r>
        <w:rPr>
          <w:rFonts w:ascii="Times New Roman" w:hAnsi="Times New Roman" w:cs="Times New Roman"/>
          <w:sz w:val="28"/>
          <w:szCs w:val="28"/>
        </w:rPr>
        <w:t>7,0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 или на </w:t>
      </w:r>
      <w:r>
        <w:rPr>
          <w:rFonts w:ascii="Times New Roman" w:hAnsi="Times New Roman" w:cs="Times New Roman"/>
          <w:sz w:val="28"/>
          <w:szCs w:val="28"/>
        </w:rPr>
        <w:t>0,6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процента больше</w:t>
      </w:r>
      <w:r>
        <w:rPr>
          <w:rFonts w:ascii="Times New Roman" w:hAnsi="Times New Roman" w:cs="Times New Roman"/>
          <w:sz w:val="28"/>
          <w:szCs w:val="28"/>
        </w:rPr>
        <w:t xml:space="preserve"> фактического исполнения за 2024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 (</w:t>
      </w:r>
      <w:r>
        <w:rPr>
          <w:rFonts w:ascii="Times New Roman" w:hAnsi="Times New Roman" w:cs="Times New Roman"/>
          <w:sz w:val="28"/>
          <w:szCs w:val="28"/>
        </w:rPr>
        <w:t>1 111,9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рублей). 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 xml:space="preserve">Поступления по крупным доходным источникам характеризуются следующим образом. 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>Поступление налога на доходы физических лиц ожидается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795,5</w:t>
      </w:r>
      <w:r w:rsidRPr="00A20B0F">
        <w:rPr>
          <w:rFonts w:ascii="Times New Roman" w:hAnsi="Times New Roman" w:cs="Times New Roman"/>
          <w:sz w:val="28"/>
          <w:szCs w:val="28"/>
        </w:rPr>
        <w:t xml:space="preserve">  млн. рублей, с повыше</w:t>
      </w:r>
      <w:r>
        <w:rPr>
          <w:rFonts w:ascii="Times New Roman" w:hAnsi="Times New Roman" w:cs="Times New Roman"/>
          <w:sz w:val="28"/>
          <w:szCs w:val="28"/>
        </w:rPr>
        <w:t>нием к аналогичному периоду 2024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t>58,7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 или на </w:t>
      </w:r>
      <w:r>
        <w:rPr>
          <w:rFonts w:ascii="Times New Roman" w:hAnsi="Times New Roman" w:cs="Times New Roman"/>
          <w:sz w:val="28"/>
          <w:szCs w:val="28"/>
        </w:rPr>
        <w:t>8,0 процента</w:t>
      </w:r>
      <w:r w:rsidRPr="00A20B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3B0B" w:rsidRPr="00E760B7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прогнозном периоде 2025 года предполагается увеличение налоговых и неналоговых доходов бюджета относительно оценки  2024 года на 0,6 процента. В прогнозном периоде 2026 года предполагается увеличение собственных доходов бюджета Смоленского муниципального округа на 6,6 процента к прогнозу  2025 года, на 2027 год – рост на 6,1 процентов к прогнозу  2026 года. 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 xml:space="preserve">Рост планируется за счет: прогнозируемых макроэкономических показателей прогноза социально-экономического развития Смоленского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20B0F">
        <w:rPr>
          <w:rFonts w:ascii="Times New Roman" w:hAnsi="Times New Roman" w:cs="Times New Roman"/>
          <w:sz w:val="28"/>
          <w:szCs w:val="28"/>
        </w:rPr>
        <w:t>а, реализации инвестиционных проектов, развития малого и среднего предпринимательства, улучшения налогового администрирования, оптимизации налоговых льгот и преференций.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lastRenderedPageBreak/>
        <w:t xml:space="preserve">Большая часть налоговых поступлений, как и в предыдущие годы, будет обеспечиваться поступлениями налога на доходы физических лиц, акцизов, налога, взимаемого в связи с применением упрощенной системы налогообложения. 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безвозмездных поступлений в 2025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оценивается в сумме </w:t>
      </w:r>
      <w:r>
        <w:rPr>
          <w:rFonts w:ascii="Times New Roman" w:hAnsi="Times New Roman" w:cs="Times New Roman"/>
          <w:sz w:val="28"/>
          <w:szCs w:val="28"/>
        </w:rPr>
        <w:t>1 138,1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</w:t>
      </w:r>
      <w:r>
        <w:rPr>
          <w:rFonts w:ascii="Times New Roman" w:hAnsi="Times New Roman" w:cs="Times New Roman"/>
          <w:sz w:val="28"/>
          <w:szCs w:val="28"/>
        </w:rPr>
        <w:t xml:space="preserve"> и снижается по сравнению с 2024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годом на </w:t>
      </w:r>
      <w:r>
        <w:rPr>
          <w:rFonts w:ascii="Times New Roman" w:hAnsi="Times New Roman" w:cs="Times New Roman"/>
          <w:sz w:val="28"/>
          <w:szCs w:val="28"/>
        </w:rPr>
        <w:t>128,0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 или на </w:t>
      </w:r>
      <w:r>
        <w:rPr>
          <w:rFonts w:ascii="Times New Roman" w:hAnsi="Times New Roman" w:cs="Times New Roman"/>
          <w:sz w:val="28"/>
          <w:szCs w:val="28"/>
        </w:rPr>
        <w:t>10,1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процентов. 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 xml:space="preserve">Расходы бюджета Смоленского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в 2025 году по сравнению с 2024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годом увеличатся на </w:t>
      </w:r>
      <w:r>
        <w:rPr>
          <w:rFonts w:ascii="Times New Roman" w:hAnsi="Times New Roman" w:cs="Times New Roman"/>
          <w:sz w:val="28"/>
          <w:szCs w:val="28"/>
        </w:rPr>
        <w:t>345,9  млн. рублей или на 15,7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>Расходы б</w:t>
      </w:r>
      <w:r>
        <w:rPr>
          <w:rFonts w:ascii="Times New Roman" w:hAnsi="Times New Roman" w:cs="Times New Roman"/>
          <w:sz w:val="28"/>
          <w:szCs w:val="28"/>
        </w:rPr>
        <w:t xml:space="preserve">юджета </w:t>
      </w:r>
      <w:r w:rsidRPr="00A20B0F">
        <w:rPr>
          <w:rFonts w:ascii="Times New Roman" w:hAnsi="Times New Roman" w:cs="Times New Roman"/>
          <w:sz w:val="28"/>
          <w:szCs w:val="28"/>
        </w:rPr>
        <w:t xml:space="preserve">Смоленского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в 2025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на общегосударственные вопросы увеличатся на </w:t>
      </w:r>
      <w:r>
        <w:rPr>
          <w:rFonts w:ascii="Times New Roman" w:hAnsi="Times New Roman" w:cs="Times New Roman"/>
          <w:sz w:val="28"/>
          <w:szCs w:val="28"/>
        </w:rPr>
        <w:t xml:space="preserve">70,7 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 или на </w:t>
      </w:r>
      <w:r>
        <w:rPr>
          <w:rFonts w:ascii="Times New Roman" w:hAnsi="Times New Roman" w:cs="Times New Roman"/>
          <w:sz w:val="28"/>
          <w:szCs w:val="28"/>
        </w:rPr>
        <w:t>23,7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>Объем расходов по разделу «Национальная экономика»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увеличится</w:t>
      </w:r>
      <w:r w:rsidRPr="00A20B0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80,7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 или на </w:t>
      </w:r>
      <w:r>
        <w:rPr>
          <w:rFonts w:ascii="Times New Roman" w:hAnsi="Times New Roman" w:cs="Times New Roman"/>
          <w:sz w:val="28"/>
          <w:szCs w:val="28"/>
        </w:rPr>
        <w:t>37,2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>Расходы бюджета на жилищно-коммунал</w:t>
      </w:r>
      <w:r>
        <w:rPr>
          <w:rFonts w:ascii="Times New Roman" w:hAnsi="Times New Roman" w:cs="Times New Roman"/>
          <w:sz w:val="28"/>
          <w:szCs w:val="28"/>
        </w:rPr>
        <w:t>ьное хозяйство в 2025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снижаются на </w:t>
      </w:r>
      <w:r>
        <w:rPr>
          <w:rFonts w:ascii="Times New Roman" w:hAnsi="Times New Roman" w:cs="Times New Roman"/>
          <w:sz w:val="28"/>
          <w:szCs w:val="28"/>
        </w:rPr>
        <w:t>13,2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 или на </w:t>
      </w:r>
      <w:r>
        <w:rPr>
          <w:rFonts w:ascii="Times New Roman" w:hAnsi="Times New Roman" w:cs="Times New Roman"/>
          <w:sz w:val="28"/>
          <w:szCs w:val="28"/>
        </w:rPr>
        <w:t>3,8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>Объем расходов бюджета на фи</w:t>
      </w:r>
      <w:r>
        <w:rPr>
          <w:rFonts w:ascii="Times New Roman" w:hAnsi="Times New Roman" w:cs="Times New Roman"/>
          <w:sz w:val="28"/>
          <w:szCs w:val="28"/>
        </w:rPr>
        <w:t>зическую культуру и спорт в 2025 году по сравнению с 2024 годом снижается</w:t>
      </w:r>
      <w:r w:rsidRPr="00A20B0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4,4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 или на </w:t>
      </w:r>
      <w:r>
        <w:rPr>
          <w:rFonts w:ascii="Times New Roman" w:hAnsi="Times New Roman" w:cs="Times New Roman"/>
          <w:sz w:val="28"/>
          <w:szCs w:val="28"/>
        </w:rPr>
        <w:t>13,6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>Расходы бюдже</w:t>
      </w:r>
      <w:r>
        <w:rPr>
          <w:rFonts w:ascii="Times New Roman" w:hAnsi="Times New Roman" w:cs="Times New Roman"/>
          <w:sz w:val="28"/>
          <w:szCs w:val="28"/>
        </w:rPr>
        <w:t>та на социальную политику в 2025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увеличатся на </w:t>
      </w:r>
      <w:r>
        <w:rPr>
          <w:rFonts w:ascii="Times New Roman" w:hAnsi="Times New Roman" w:cs="Times New Roman"/>
          <w:sz w:val="28"/>
          <w:szCs w:val="28"/>
        </w:rPr>
        <w:t>33,1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 или на </w:t>
      </w:r>
      <w:r>
        <w:rPr>
          <w:rFonts w:ascii="Times New Roman" w:hAnsi="Times New Roman" w:cs="Times New Roman"/>
          <w:sz w:val="28"/>
          <w:szCs w:val="28"/>
        </w:rPr>
        <w:t>23,0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B23B0B" w:rsidRPr="00A20B0F" w:rsidRDefault="00B23B0B" w:rsidP="00B23B0B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>Дефицит консолидиров</w:t>
      </w:r>
      <w:r>
        <w:rPr>
          <w:rFonts w:ascii="Times New Roman" w:hAnsi="Times New Roman" w:cs="Times New Roman"/>
          <w:sz w:val="28"/>
          <w:szCs w:val="28"/>
        </w:rPr>
        <w:t>анного бюджета составляет в 2025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182,2</w:t>
      </w:r>
      <w:r w:rsidRPr="00A20B0F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A20B0F" w:rsidRDefault="00A20B0F" w:rsidP="00A20B0F">
      <w:pPr>
        <w:tabs>
          <w:tab w:val="left" w:pos="16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0B0F" w:rsidRDefault="00A20B0F" w:rsidP="00A20B0F">
      <w:pPr>
        <w:tabs>
          <w:tab w:val="left" w:pos="16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 xml:space="preserve">ТРУД И ЗАНЯТОСТЬ </w:t>
      </w:r>
    </w:p>
    <w:p w:rsidR="00A20B0F" w:rsidRPr="00A20B0F" w:rsidRDefault="00A20B0F" w:rsidP="00A20B0F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0B0F">
        <w:rPr>
          <w:rFonts w:ascii="Times New Roman" w:hAnsi="Times New Roman" w:cs="Times New Roman"/>
          <w:sz w:val="28"/>
          <w:szCs w:val="28"/>
        </w:rPr>
        <w:t xml:space="preserve">Хотя и незначительный, но рост потребности предприятий и организаций в рабочей силе будет способствовать снижению уровня безработицы. Численность безработных, зарегистрированных в государственных учреждениях службы занятости населения (на конец года) снизится с </w:t>
      </w:r>
      <w:r w:rsidR="00E42717">
        <w:rPr>
          <w:rFonts w:ascii="Times New Roman" w:hAnsi="Times New Roman" w:cs="Times New Roman"/>
          <w:sz w:val="28"/>
          <w:szCs w:val="28"/>
        </w:rPr>
        <w:t>60</w:t>
      </w:r>
      <w:r w:rsidRPr="00A20B0F">
        <w:rPr>
          <w:rFonts w:ascii="Times New Roman" w:hAnsi="Times New Roman" w:cs="Times New Roman"/>
          <w:sz w:val="28"/>
          <w:szCs w:val="28"/>
        </w:rPr>
        <w:t xml:space="preserve"> человек в 202</w:t>
      </w:r>
      <w:r w:rsidR="00E42717">
        <w:rPr>
          <w:rFonts w:ascii="Times New Roman" w:hAnsi="Times New Roman" w:cs="Times New Roman"/>
          <w:sz w:val="28"/>
          <w:szCs w:val="28"/>
        </w:rPr>
        <w:t>5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E42717">
        <w:rPr>
          <w:rFonts w:ascii="Times New Roman" w:hAnsi="Times New Roman" w:cs="Times New Roman"/>
          <w:sz w:val="28"/>
          <w:szCs w:val="28"/>
        </w:rPr>
        <w:t>59</w:t>
      </w:r>
      <w:r w:rsidRPr="00A20B0F">
        <w:rPr>
          <w:rFonts w:ascii="Times New Roman" w:hAnsi="Times New Roman" w:cs="Times New Roman"/>
          <w:sz w:val="28"/>
          <w:szCs w:val="28"/>
        </w:rPr>
        <w:t xml:space="preserve"> человек в 202</w:t>
      </w:r>
      <w:r w:rsidR="00E42717">
        <w:rPr>
          <w:rFonts w:ascii="Times New Roman" w:hAnsi="Times New Roman" w:cs="Times New Roman"/>
          <w:sz w:val="28"/>
          <w:szCs w:val="28"/>
        </w:rPr>
        <w:t>6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и далее до </w:t>
      </w:r>
      <w:r w:rsidR="00E42717">
        <w:rPr>
          <w:rFonts w:ascii="Times New Roman" w:hAnsi="Times New Roman" w:cs="Times New Roman"/>
          <w:sz w:val="28"/>
          <w:szCs w:val="28"/>
        </w:rPr>
        <w:t>57</w:t>
      </w:r>
      <w:r w:rsidRPr="00A20B0F">
        <w:rPr>
          <w:rFonts w:ascii="Times New Roman" w:hAnsi="Times New Roman" w:cs="Times New Roman"/>
          <w:sz w:val="28"/>
          <w:szCs w:val="28"/>
        </w:rPr>
        <w:t xml:space="preserve"> человек в 202</w:t>
      </w:r>
      <w:r w:rsidR="00E42717">
        <w:rPr>
          <w:rFonts w:ascii="Times New Roman" w:hAnsi="Times New Roman" w:cs="Times New Roman"/>
          <w:sz w:val="28"/>
          <w:szCs w:val="28"/>
        </w:rPr>
        <w:t>8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A20B0F" w:rsidRPr="00A20B0F" w:rsidRDefault="00A20B0F" w:rsidP="00A20B0F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0B0F">
        <w:rPr>
          <w:rFonts w:ascii="Times New Roman" w:hAnsi="Times New Roman" w:cs="Times New Roman"/>
          <w:sz w:val="28"/>
          <w:szCs w:val="28"/>
        </w:rPr>
        <w:t xml:space="preserve">Уровень регистрируемой безработицы в среднем по Смоленскому </w:t>
      </w:r>
      <w:r w:rsidR="003E5DF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20B0F">
        <w:rPr>
          <w:rFonts w:ascii="Times New Roman" w:hAnsi="Times New Roman" w:cs="Times New Roman"/>
          <w:sz w:val="28"/>
          <w:szCs w:val="28"/>
        </w:rPr>
        <w:t>у в 202</w:t>
      </w:r>
      <w:r w:rsidR="00E42717">
        <w:rPr>
          <w:rFonts w:ascii="Times New Roman" w:hAnsi="Times New Roman" w:cs="Times New Roman"/>
          <w:sz w:val="28"/>
          <w:szCs w:val="28"/>
        </w:rPr>
        <w:t>4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E42717">
        <w:rPr>
          <w:rFonts w:ascii="Times New Roman" w:hAnsi="Times New Roman" w:cs="Times New Roman"/>
          <w:sz w:val="28"/>
          <w:szCs w:val="28"/>
        </w:rPr>
        <w:t>0,29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процентов от общей численности экономически активного населения, что выше данного показателя по Смоленской области, в прогнозном периоде уровень безработицы составит  202</w:t>
      </w:r>
      <w:r w:rsidR="00B80CE0">
        <w:rPr>
          <w:rFonts w:ascii="Times New Roman" w:hAnsi="Times New Roman" w:cs="Times New Roman"/>
          <w:sz w:val="28"/>
          <w:szCs w:val="28"/>
        </w:rPr>
        <w:t>6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80CE0">
        <w:rPr>
          <w:rFonts w:ascii="Times New Roman" w:hAnsi="Times New Roman" w:cs="Times New Roman"/>
          <w:sz w:val="28"/>
          <w:szCs w:val="28"/>
        </w:rPr>
        <w:t>0,27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процентов, 202</w:t>
      </w:r>
      <w:r w:rsidR="00B80C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80CE0">
        <w:rPr>
          <w:rFonts w:ascii="Times New Roman" w:hAnsi="Times New Roman" w:cs="Times New Roman"/>
          <w:sz w:val="28"/>
          <w:szCs w:val="28"/>
        </w:rPr>
        <w:t>0,26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процентов, 202</w:t>
      </w:r>
      <w:r w:rsidR="00B80CE0">
        <w:rPr>
          <w:rFonts w:ascii="Times New Roman" w:hAnsi="Times New Roman" w:cs="Times New Roman"/>
          <w:sz w:val="28"/>
          <w:szCs w:val="28"/>
        </w:rPr>
        <w:t>8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 – 0,</w:t>
      </w:r>
      <w:r w:rsidR="00B80CE0">
        <w:rPr>
          <w:rFonts w:ascii="Times New Roman" w:hAnsi="Times New Roman" w:cs="Times New Roman"/>
          <w:sz w:val="28"/>
          <w:szCs w:val="28"/>
        </w:rPr>
        <w:t>25</w:t>
      </w:r>
      <w:r w:rsidRPr="00A20B0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80CE0">
        <w:rPr>
          <w:rFonts w:ascii="Times New Roman" w:hAnsi="Times New Roman" w:cs="Times New Roman"/>
          <w:sz w:val="28"/>
          <w:szCs w:val="28"/>
        </w:rPr>
        <w:t>ов</w:t>
      </w:r>
      <w:r w:rsidRPr="00A20B0F">
        <w:rPr>
          <w:rFonts w:ascii="Times New Roman" w:hAnsi="Times New Roman" w:cs="Times New Roman"/>
          <w:sz w:val="28"/>
          <w:szCs w:val="28"/>
        </w:rPr>
        <w:t xml:space="preserve"> экономически активного населения.</w:t>
      </w:r>
      <w:proofErr w:type="gramEnd"/>
    </w:p>
    <w:p w:rsidR="00A20B0F" w:rsidRPr="00A20B0F" w:rsidRDefault="00A20B0F" w:rsidP="00A20B0F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 xml:space="preserve">Дальнейший рост экономики Смоленского </w:t>
      </w:r>
      <w:r w:rsidR="003E5DF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20B0F">
        <w:rPr>
          <w:rFonts w:ascii="Times New Roman" w:hAnsi="Times New Roman" w:cs="Times New Roman"/>
          <w:sz w:val="28"/>
          <w:szCs w:val="28"/>
        </w:rPr>
        <w:t xml:space="preserve">а потребует привлечения трудовых ресурсов, в том </w:t>
      </w:r>
      <w:proofErr w:type="gramStart"/>
      <w:r w:rsidRPr="00A20B0F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20B0F">
        <w:rPr>
          <w:rFonts w:ascii="Times New Roman" w:hAnsi="Times New Roman" w:cs="Times New Roman"/>
          <w:sz w:val="28"/>
          <w:szCs w:val="28"/>
        </w:rPr>
        <w:t xml:space="preserve"> квалифицированной рабочей силы.</w:t>
      </w:r>
    </w:p>
    <w:p w:rsidR="00A20B0F" w:rsidRDefault="00A20B0F" w:rsidP="00A20B0F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0AF7F74" wp14:editId="77B95D07">
            <wp:extent cx="64770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20B0F" w:rsidRDefault="00A20B0F" w:rsidP="00A20B0F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0B0F" w:rsidRDefault="00A20B0F" w:rsidP="00A20B0F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 xml:space="preserve">Одним из источников восполнения дефицита трудовых ресурсов в  Смоленском </w:t>
      </w:r>
      <w:proofErr w:type="gramStart"/>
      <w:r w:rsidR="003E5DFB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3E5DFB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A20B0F">
        <w:rPr>
          <w:rFonts w:ascii="Times New Roman" w:hAnsi="Times New Roman" w:cs="Times New Roman"/>
          <w:sz w:val="28"/>
          <w:szCs w:val="28"/>
        </w:rPr>
        <w:t>е может стать миграция населения из стран ближнего зарубежья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B0F" w:rsidRPr="00A20B0F" w:rsidRDefault="00A20B0F" w:rsidP="00A20B0F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>На протяжении ряда лет отмечается рост среднемесячной заработной платы.</w:t>
      </w:r>
    </w:p>
    <w:p w:rsidR="00A20B0F" w:rsidRPr="00A20B0F" w:rsidRDefault="00A20B0F" w:rsidP="00A20B0F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B80CE0">
        <w:rPr>
          <w:rFonts w:ascii="Times New Roman" w:hAnsi="Times New Roman" w:cs="Times New Roman"/>
          <w:sz w:val="28"/>
          <w:szCs w:val="28"/>
        </w:rPr>
        <w:t>4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среднемесячная начисленная заработная плата работников крупных и средних предприятий муниципального </w:t>
      </w:r>
      <w:proofErr w:type="gramStart"/>
      <w:r w:rsidR="003E5DFB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3E5DFB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A20B0F">
        <w:rPr>
          <w:rFonts w:ascii="Times New Roman" w:hAnsi="Times New Roman" w:cs="Times New Roman"/>
          <w:sz w:val="28"/>
          <w:szCs w:val="28"/>
        </w:rPr>
        <w:t xml:space="preserve">а составила </w:t>
      </w:r>
      <w:r w:rsidR="00B80CE0">
        <w:rPr>
          <w:rFonts w:ascii="Times New Roman" w:hAnsi="Times New Roman" w:cs="Times New Roman"/>
          <w:sz w:val="28"/>
          <w:szCs w:val="28"/>
        </w:rPr>
        <w:t>66 099,0</w:t>
      </w:r>
      <w:r w:rsidRPr="00A20B0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20B0F" w:rsidRPr="00A20B0F" w:rsidRDefault="00A20B0F" w:rsidP="00A20B0F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>В 202</w:t>
      </w:r>
      <w:r w:rsidR="00B80CE0">
        <w:rPr>
          <w:rFonts w:ascii="Times New Roman" w:hAnsi="Times New Roman" w:cs="Times New Roman"/>
          <w:sz w:val="28"/>
          <w:szCs w:val="28"/>
        </w:rPr>
        <w:t>6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ожидается рост среднемесячной заработной платы на </w:t>
      </w:r>
      <w:r w:rsidR="00B80C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A20B0F">
        <w:rPr>
          <w:rFonts w:ascii="Times New Roman" w:hAnsi="Times New Roman" w:cs="Times New Roman"/>
          <w:sz w:val="28"/>
          <w:szCs w:val="28"/>
        </w:rPr>
        <w:t>%, в 202</w:t>
      </w:r>
      <w:r w:rsidR="00B80CE0">
        <w:rPr>
          <w:rFonts w:ascii="Times New Roman" w:hAnsi="Times New Roman" w:cs="Times New Roman"/>
          <w:sz w:val="28"/>
          <w:szCs w:val="28"/>
        </w:rPr>
        <w:t>7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 на </w:t>
      </w:r>
      <w:r w:rsidR="00B80C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A20B0F">
        <w:rPr>
          <w:rFonts w:ascii="Times New Roman" w:hAnsi="Times New Roman" w:cs="Times New Roman"/>
          <w:sz w:val="28"/>
          <w:szCs w:val="28"/>
        </w:rPr>
        <w:t>%, в 202</w:t>
      </w:r>
      <w:r w:rsidR="00B80CE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C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A20B0F">
        <w:rPr>
          <w:rFonts w:ascii="Times New Roman" w:hAnsi="Times New Roman" w:cs="Times New Roman"/>
          <w:sz w:val="28"/>
          <w:szCs w:val="28"/>
        </w:rPr>
        <w:t>%.</w:t>
      </w:r>
    </w:p>
    <w:p w:rsidR="00A20B0F" w:rsidRPr="00D11DD2" w:rsidRDefault="00A20B0F" w:rsidP="00A20B0F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0F">
        <w:rPr>
          <w:rFonts w:ascii="Times New Roman" w:hAnsi="Times New Roman" w:cs="Times New Roman"/>
          <w:sz w:val="28"/>
          <w:szCs w:val="28"/>
        </w:rPr>
        <w:t>По прогнозу рост фонда заработной платы работников организаций в 202</w:t>
      </w:r>
      <w:r w:rsidR="00B80CE0">
        <w:rPr>
          <w:rFonts w:ascii="Times New Roman" w:hAnsi="Times New Roman" w:cs="Times New Roman"/>
          <w:sz w:val="28"/>
          <w:szCs w:val="28"/>
        </w:rPr>
        <w:t>6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B80CE0">
        <w:rPr>
          <w:rFonts w:ascii="Times New Roman" w:hAnsi="Times New Roman" w:cs="Times New Roman"/>
          <w:sz w:val="28"/>
          <w:szCs w:val="28"/>
        </w:rPr>
        <w:t>108,0</w:t>
      </w:r>
      <w:r w:rsidRPr="00A20B0F">
        <w:rPr>
          <w:rFonts w:ascii="Times New Roman" w:hAnsi="Times New Roman" w:cs="Times New Roman"/>
          <w:sz w:val="28"/>
          <w:szCs w:val="28"/>
        </w:rPr>
        <w:t xml:space="preserve"> %, в 202</w:t>
      </w:r>
      <w:r w:rsidR="00B80CE0">
        <w:rPr>
          <w:rFonts w:ascii="Times New Roman" w:hAnsi="Times New Roman" w:cs="Times New Roman"/>
          <w:sz w:val="28"/>
          <w:szCs w:val="28"/>
        </w:rPr>
        <w:t>7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80CE0">
        <w:rPr>
          <w:rFonts w:ascii="Times New Roman" w:hAnsi="Times New Roman" w:cs="Times New Roman"/>
          <w:sz w:val="28"/>
          <w:szCs w:val="28"/>
        </w:rPr>
        <w:t>107,0</w:t>
      </w:r>
      <w:r w:rsidRPr="00A20B0F">
        <w:rPr>
          <w:rFonts w:ascii="Times New Roman" w:hAnsi="Times New Roman" w:cs="Times New Roman"/>
          <w:sz w:val="28"/>
          <w:szCs w:val="28"/>
        </w:rPr>
        <w:t xml:space="preserve"> %, в 202</w:t>
      </w:r>
      <w:r w:rsidR="00B80CE0">
        <w:rPr>
          <w:rFonts w:ascii="Times New Roman" w:hAnsi="Times New Roman" w:cs="Times New Roman"/>
          <w:sz w:val="28"/>
          <w:szCs w:val="28"/>
        </w:rPr>
        <w:t>8</w:t>
      </w:r>
      <w:r w:rsidRPr="00A20B0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80CE0">
        <w:rPr>
          <w:rFonts w:ascii="Times New Roman" w:hAnsi="Times New Roman" w:cs="Times New Roman"/>
          <w:sz w:val="28"/>
          <w:szCs w:val="28"/>
        </w:rPr>
        <w:t>106,3</w:t>
      </w:r>
      <w:r w:rsidRPr="00A20B0F">
        <w:rPr>
          <w:rFonts w:ascii="Times New Roman" w:hAnsi="Times New Roman" w:cs="Times New Roman"/>
          <w:sz w:val="28"/>
          <w:szCs w:val="28"/>
        </w:rPr>
        <w:t xml:space="preserve"> % к предыдущему году.</w:t>
      </w:r>
    </w:p>
    <w:sectPr w:rsidR="00A20B0F" w:rsidRPr="00D11DD2" w:rsidSect="00E65BC0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F2"/>
    <w:rsid w:val="000B21AC"/>
    <w:rsid w:val="00185ABE"/>
    <w:rsid w:val="001C1BFD"/>
    <w:rsid w:val="00205370"/>
    <w:rsid w:val="0028782E"/>
    <w:rsid w:val="0032526A"/>
    <w:rsid w:val="003E5DFB"/>
    <w:rsid w:val="004214A7"/>
    <w:rsid w:val="004B3673"/>
    <w:rsid w:val="00523453"/>
    <w:rsid w:val="00614CF2"/>
    <w:rsid w:val="0093072E"/>
    <w:rsid w:val="009316EE"/>
    <w:rsid w:val="00A20B0F"/>
    <w:rsid w:val="00A2316F"/>
    <w:rsid w:val="00B23B0B"/>
    <w:rsid w:val="00B80CE0"/>
    <w:rsid w:val="00BB4432"/>
    <w:rsid w:val="00CB71DC"/>
    <w:rsid w:val="00D11DD2"/>
    <w:rsid w:val="00E42717"/>
    <w:rsid w:val="00E65BC0"/>
    <w:rsid w:val="00EC3CC6"/>
    <w:rsid w:val="00F6362C"/>
    <w:rsid w:val="00FB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C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C1B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C1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B71D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B71DC"/>
  </w:style>
  <w:style w:type="paragraph" w:styleId="a9">
    <w:name w:val="List Paragraph"/>
    <w:basedOn w:val="a"/>
    <w:uiPriority w:val="99"/>
    <w:qFormat/>
    <w:rsid w:val="00185A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8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C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C1B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C1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B71D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B71DC"/>
  </w:style>
  <w:style w:type="paragraph" w:styleId="a9">
    <w:name w:val="List Paragraph"/>
    <w:basedOn w:val="a"/>
    <w:uiPriority w:val="99"/>
    <w:qFormat/>
    <w:rsid w:val="00185A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8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</a:t>
            </a:r>
            <a:r>
              <a:rPr lang="ru-RU" baseline="0"/>
              <a:t> рождаемости и смертности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4057617797775277E-2"/>
          <c:w val="0.99980379767343897"/>
          <c:h val="0.766851990216551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Число родившихся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2.05761316872428E-3"/>
                  <c:y val="0.136253041362530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5761316872428E-3"/>
                  <c:y val="0.175182481751824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5761316872428E-3"/>
                  <c:y val="0.175182481751824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761316872428E-3"/>
                  <c:y val="0.158961881589618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5761316872428E-3"/>
                  <c:y val="0.1459854014598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1522633744856E-3"/>
                  <c:y val="0.136253041362530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2023 отчет</c:v>
                </c:pt>
                <c:pt idx="1">
                  <c:v>2024 отчет</c:v>
                </c:pt>
                <c:pt idx="2">
                  <c:v>2025 оценка</c:v>
                </c:pt>
                <c:pt idx="3">
                  <c:v>2026 прогноз</c:v>
                </c:pt>
                <c:pt idx="4">
                  <c:v>2027 прогноз</c:v>
                </c:pt>
                <c:pt idx="5">
                  <c:v>2028 прогноз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400</c:v>
                </c:pt>
                <c:pt idx="1">
                  <c:v>369</c:v>
                </c:pt>
                <c:pt idx="2">
                  <c:v>380</c:v>
                </c:pt>
                <c:pt idx="3">
                  <c:v>390</c:v>
                </c:pt>
                <c:pt idx="4">
                  <c:v>400</c:v>
                </c:pt>
                <c:pt idx="5">
                  <c:v>410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Число умерших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0.116788321167883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1522633744856E-3"/>
                  <c:y val="0.145985401459853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5761316872428E-3"/>
                  <c:y val="0.194647201946472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23045267489712E-3"/>
                  <c:y val="0.220600162206001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5761316872428E-3"/>
                  <c:y val="0.220600162206001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728395061728392E-3"/>
                  <c:y val="0.223844282238442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2023 отчет</c:v>
                </c:pt>
                <c:pt idx="1">
                  <c:v>2024 отчет</c:v>
                </c:pt>
                <c:pt idx="2">
                  <c:v>2025 оценка</c:v>
                </c:pt>
                <c:pt idx="3">
                  <c:v>2026 прогноз</c:v>
                </c:pt>
                <c:pt idx="4">
                  <c:v>2027 прогноз</c:v>
                </c:pt>
                <c:pt idx="5">
                  <c:v>2028 прогноз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787</c:v>
                </c:pt>
                <c:pt idx="1">
                  <c:v>760</c:v>
                </c:pt>
                <c:pt idx="2">
                  <c:v>755</c:v>
                </c:pt>
                <c:pt idx="3">
                  <c:v>750</c:v>
                </c:pt>
                <c:pt idx="4">
                  <c:v>745</c:v>
                </c:pt>
                <c:pt idx="5">
                  <c:v>740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gapDepth val="50"/>
        <c:shape val="box"/>
        <c:axId val="186124160"/>
        <c:axId val="186125696"/>
        <c:axId val="0"/>
      </c:bar3DChart>
      <c:catAx>
        <c:axId val="186124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86125696"/>
        <c:crosses val="autoZero"/>
        <c:auto val="1"/>
        <c:lblAlgn val="ctr"/>
        <c:lblOffset val="100"/>
        <c:noMultiLvlLbl val="0"/>
      </c:catAx>
      <c:valAx>
        <c:axId val="1861256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6124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6811671689187003E-2"/>
          <c:y val="0.91228257051810124"/>
          <c:w val="0.91586322543015453"/>
          <c:h val="6.890051152365078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/>
              <a:t>Численность населения, чел.</a:t>
            </a:r>
          </a:p>
        </c:rich>
      </c:tx>
      <c:layout>
        <c:manualLayout>
          <c:xMode val="edge"/>
          <c:yMode val="edge"/>
          <c:x val="0.3641556411288005"/>
          <c:y val="3.571428571428571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752150506734104E-4"/>
          <c:y val="2.0912698412698414E-2"/>
          <c:w val="0.9900601183976091"/>
          <c:h val="0.866693538307711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Численность населения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25304136253041E-2"/>
                  <c:y val="0.115079365079365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518248175182483E-2"/>
                  <c:y val="0.162698412698412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571776155717762E-2"/>
                  <c:y val="0.15476190476190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571776155717833E-2"/>
                  <c:y val="0.15476190476190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571776155717762E-2"/>
                  <c:y val="0.166666666666666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9464720194647202E-2"/>
                  <c:y val="0.154761904761904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2023 отчет</c:v>
                </c:pt>
                <c:pt idx="1">
                  <c:v>2024 отчет</c:v>
                </c:pt>
                <c:pt idx="2">
                  <c:v>2025 оценка</c:v>
                </c:pt>
                <c:pt idx="3">
                  <c:v>2026 прогноз</c:v>
                </c:pt>
                <c:pt idx="4">
                  <c:v>2027 прогноз</c:v>
                </c:pt>
                <c:pt idx="5">
                  <c:v>2028 прогноз</c:v>
                </c:pt>
              </c:strCache>
            </c:strRef>
          </c:cat>
          <c:val>
            <c:numRef>
              <c:f>Лист1!$B$2:$G$2</c:f>
              <c:numCache>
                <c:formatCode>#,##0</c:formatCode>
                <c:ptCount val="6"/>
                <c:pt idx="0">
                  <c:v>61099</c:v>
                </c:pt>
                <c:pt idx="1">
                  <c:v>61614</c:v>
                </c:pt>
                <c:pt idx="2">
                  <c:v>62137</c:v>
                </c:pt>
                <c:pt idx="3">
                  <c:v>62665</c:v>
                </c:pt>
                <c:pt idx="4">
                  <c:v>63197</c:v>
                </c:pt>
                <c:pt idx="5">
                  <c:v>63734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shape val="cylinder"/>
        <c:axId val="186183680"/>
        <c:axId val="186185216"/>
        <c:axId val="0"/>
      </c:bar3DChart>
      <c:catAx>
        <c:axId val="1861836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86185216"/>
        <c:crosses val="autoZero"/>
        <c:auto val="1"/>
        <c:lblAlgn val="ctr"/>
        <c:lblOffset val="100"/>
        <c:noMultiLvlLbl val="0"/>
      </c:catAx>
      <c:valAx>
        <c:axId val="18618521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8618368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/>
              <a:t>Объем отгруженных товаров собственного производства, млн.руб.</a:t>
            </a:r>
          </a:p>
        </c:rich>
      </c:tx>
      <c:layout>
        <c:manualLayout>
          <c:xMode val="edge"/>
          <c:yMode val="edge"/>
          <c:x val="8.8521153011071274E-2"/>
          <c:y val="3.96825396825396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1473889702293802E-2"/>
          <c:y val="1.9047619047619035E-2"/>
          <c:w val="0.9570522205954124"/>
          <c:h val="0.879054493188351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Объем отгруженных товаров собственного производства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2023 отчет</c:v>
                </c:pt>
                <c:pt idx="1">
                  <c:v>2024 отчет</c:v>
                </c:pt>
                <c:pt idx="2">
                  <c:v>2025 оценка</c:v>
                </c:pt>
                <c:pt idx="3">
                  <c:v>2026 прогноз</c:v>
                </c:pt>
                <c:pt idx="4">
                  <c:v>2027 прогноз</c:v>
                </c:pt>
                <c:pt idx="5">
                  <c:v>2028 прогноз</c:v>
                </c:pt>
              </c:strCache>
            </c:strRef>
          </c:cat>
          <c:val>
            <c:numRef>
              <c:f>Лист1!$B$2:$G$2</c:f>
              <c:numCache>
                <c:formatCode>#,##0.0</c:formatCode>
                <c:ptCount val="6"/>
                <c:pt idx="0">
                  <c:v>5115.6000000000004</c:v>
                </c:pt>
                <c:pt idx="1">
                  <c:v>5736.6</c:v>
                </c:pt>
                <c:pt idx="2">
                  <c:v>6141.4</c:v>
                </c:pt>
                <c:pt idx="3">
                  <c:v>6673.6</c:v>
                </c:pt>
                <c:pt idx="4">
                  <c:v>7572.9</c:v>
                </c:pt>
                <c:pt idx="5">
                  <c:v>8560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86279424"/>
        <c:axId val="186280960"/>
      </c:barChart>
      <c:catAx>
        <c:axId val="186279424"/>
        <c:scaling>
          <c:orientation val="minMax"/>
        </c:scaling>
        <c:delete val="0"/>
        <c:axPos val="b"/>
        <c:majorTickMark val="out"/>
        <c:minorTickMark val="none"/>
        <c:tickLblPos val="nextTo"/>
        <c:crossAx val="186280960"/>
        <c:crosses val="autoZero"/>
        <c:auto val="1"/>
        <c:lblAlgn val="ctr"/>
        <c:lblOffset val="100"/>
        <c:noMultiLvlLbl val="0"/>
      </c:catAx>
      <c:valAx>
        <c:axId val="186280960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1862794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Объем отгруженных товаров собственного производства, выполненных работ и услуг собственными силами, млн. руб.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Объем отгруженных товаров собственного производства, выполненных работ и услуг собственными силами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2023г.</c:v>
                </c:pt>
                <c:pt idx="1">
                  <c:v>2024г.</c:v>
                </c:pt>
                <c:pt idx="2">
                  <c:v>2025г.</c:v>
                </c:pt>
                <c:pt idx="3">
                  <c:v>2026г.</c:v>
                </c:pt>
                <c:pt idx="4">
                  <c:v>2027г.</c:v>
                </c:pt>
                <c:pt idx="5">
                  <c:v>2028г.</c:v>
                </c:pt>
              </c:strCache>
            </c:strRef>
          </c:cat>
          <c:val>
            <c:numRef>
              <c:f>Лист1!$B$2:$G$2</c:f>
              <c:numCache>
                <c:formatCode>#,##0.0</c:formatCode>
                <c:ptCount val="6"/>
                <c:pt idx="0">
                  <c:v>3772.5</c:v>
                </c:pt>
                <c:pt idx="1">
                  <c:v>5307.3</c:v>
                </c:pt>
                <c:pt idx="2">
                  <c:v>5683.4</c:v>
                </c:pt>
                <c:pt idx="3">
                  <c:v>6189.2</c:v>
                </c:pt>
                <c:pt idx="4">
                  <c:v>7064.6</c:v>
                </c:pt>
                <c:pt idx="5">
                  <c:v>8038.3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86301440"/>
        <c:axId val="186098432"/>
      </c:barChart>
      <c:catAx>
        <c:axId val="1863014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6098432"/>
        <c:crosses val="autoZero"/>
        <c:auto val="1"/>
        <c:lblAlgn val="ctr"/>
        <c:lblOffset val="100"/>
        <c:noMultiLvlLbl val="0"/>
      </c:catAx>
      <c:valAx>
        <c:axId val="186098432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18630144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4"/>
    </mc:Choice>
    <mc:Fallback>
      <c:style val="1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Продукция сельского хозяйства, млн.руб.</a:t>
            </a:r>
          </a:p>
        </c:rich>
      </c:tx>
      <c:layout>
        <c:manualLayout>
          <c:xMode val="edge"/>
          <c:yMode val="edge"/>
          <c:x val="0.28663865996342291"/>
          <c:y val="5.7936557930258717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379980563654033E-2"/>
          <c:y val="4.2590476190476192E-2"/>
          <c:w val="0.95724003887269193"/>
          <c:h val="0.811416272965879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Объем отгруженных товаров собственного производства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605442176870748E-2"/>
                  <c:y val="0.213333333333333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549076773566569E-2"/>
                  <c:y val="0.205714285714285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661807580174927E-2"/>
                  <c:y val="0.21714285714285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492711370262461E-2"/>
                  <c:y val="0.205714285714285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1661807580174927E-2"/>
                  <c:y val="0.201904761904761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3605442176870748E-2"/>
                  <c:y val="0.22476190476190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2023 отчет</c:v>
                </c:pt>
                <c:pt idx="1">
                  <c:v>2024 отчет</c:v>
                </c:pt>
                <c:pt idx="2">
                  <c:v>2025 оценка</c:v>
                </c:pt>
                <c:pt idx="3">
                  <c:v>2026 прогноз</c:v>
                </c:pt>
                <c:pt idx="4">
                  <c:v>2027 прогноз</c:v>
                </c:pt>
                <c:pt idx="5">
                  <c:v>2028 прогноз</c:v>
                </c:pt>
              </c:strCache>
            </c:strRef>
          </c:cat>
          <c:val>
            <c:numRef>
              <c:f>Лист1!$B$2:$G$2</c:f>
              <c:numCache>
                <c:formatCode>#,##0.00</c:formatCode>
                <c:ptCount val="6"/>
                <c:pt idx="0">
                  <c:v>3946.9</c:v>
                </c:pt>
                <c:pt idx="1">
                  <c:v>4296.2</c:v>
                </c:pt>
                <c:pt idx="2">
                  <c:v>4649.5</c:v>
                </c:pt>
                <c:pt idx="3">
                  <c:v>4925.8</c:v>
                </c:pt>
                <c:pt idx="4">
                  <c:v>5214.3</c:v>
                </c:pt>
                <c:pt idx="5" formatCode="#,##0.0">
                  <c:v>5560.4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shape val="cylinder"/>
        <c:axId val="136230016"/>
        <c:axId val="136231552"/>
        <c:axId val="0"/>
      </c:bar3DChart>
      <c:catAx>
        <c:axId val="136230016"/>
        <c:scaling>
          <c:orientation val="minMax"/>
        </c:scaling>
        <c:delete val="0"/>
        <c:axPos val="b"/>
        <c:majorTickMark val="out"/>
        <c:minorTickMark val="none"/>
        <c:tickLblPos val="nextTo"/>
        <c:crossAx val="136231552"/>
        <c:crosses val="autoZero"/>
        <c:auto val="1"/>
        <c:lblAlgn val="ctr"/>
        <c:lblOffset val="100"/>
        <c:noMultiLvlLbl val="0"/>
      </c:catAx>
      <c:valAx>
        <c:axId val="136231552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1362300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Показатели торговли и услуг населению, млн.руб.</a:t>
            </a:r>
          </a:p>
        </c:rich>
      </c:tx>
      <c:layout>
        <c:manualLayout>
          <c:xMode val="edge"/>
          <c:yMode val="edge"/>
          <c:x val="3.8156167979002627E-2"/>
          <c:y val="1.499407168698507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2916666666666665E-2"/>
          <c:y val="9.3271314058715651E-2"/>
          <c:w val="0.94456873359580051"/>
          <c:h val="0.705740370605331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Оборот розничной торговли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2023г.</c:v>
                </c:pt>
                <c:pt idx="1">
                  <c:v>2024г.</c:v>
                </c:pt>
                <c:pt idx="2">
                  <c:v>2025г.</c:v>
                </c:pt>
                <c:pt idx="3">
                  <c:v>2026г.</c:v>
                </c:pt>
                <c:pt idx="4">
                  <c:v>2027г.</c:v>
                </c:pt>
                <c:pt idx="5">
                  <c:v>2028г.</c:v>
                </c:pt>
              </c:strCache>
            </c:strRef>
          </c:cat>
          <c:val>
            <c:numRef>
              <c:f>Лист1!$B$2:$G$2</c:f>
              <c:numCache>
                <c:formatCode>#,##0.0</c:formatCode>
                <c:ptCount val="6"/>
                <c:pt idx="0">
                  <c:v>4047.6</c:v>
                </c:pt>
                <c:pt idx="1">
                  <c:v>5594.6</c:v>
                </c:pt>
                <c:pt idx="2">
                  <c:v>6476.7</c:v>
                </c:pt>
                <c:pt idx="3">
                  <c:v>7215.4</c:v>
                </c:pt>
                <c:pt idx="4">
                  <c:v>7811.7</c:v>
                </c:pt>
                <c:pt idx="5">
                  <c:v>8441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Объем платных услуг населению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2023г.</c:v>
                </c:pt>
                <c:pt idx="1">
                  <c:v>2024г.</c:v>
                </c:pt>
                <c:pt idx="2">
                  <c:v>2025г.</c:v>
                </c:pt>
                <c:pt idx="3">
                  <c:v>2026г.</c:v>
                </c:pt>
                <c:pt idx="4">
                  <c:v>2027г.</c:v>
                </c:pt>
                <c:pt idx="5">
                  <c:v>2028г.</c:v>
                </c:pt>
              </c:strCache>
            </c:strRef>
          </c:cat>
          <c:val>
            <c:numRef>
              <c:f>Лист1!$B$3:$G$3</c:f>
              <c:numCache>
                <c:formatCode>#,##0.0</c:formatCode>
                <c:ptCount val="6"/>
                <c:pt idx="0">
                  <c:v>303.89999999999998</c:v>
                </c:pt>
                <c:pt idx="1">
                  <c:v>316.5</c:v>
                </c:pt>
                <c:pt idx="2">
                  <c:v>363.6</c:v>
                </c:pt>
                <c:pt idx="3">
                  <c:v>397.3</c:v>
                </c:pt>
                <c:pt idx="4">
                  <c:v>426.8</c:v>
                </c:pt>
                <c:pt idx="5">
                  <c:v>456.3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136400896"/>
        <c:axId val="136402432"/>
      </c:barChart>
      <c:catAx>
        <c:axId val="136400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6402432"/>
        <c:crosses val="autoZero"/>
        <c:auto val="1"/>
        <c:lblAlgn val="ctr"/>
        <c:lblOffset val="100"/>
        <c:noMultiLvlLbl val="0"/>
      </c:catAx>
      <c:valAx>
        <c:axId val="136402432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136400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1652066929133854E-2"/>
          <c:y val="0.87688007749031371"/>
          <c:w val="0.97626459973753277"/>
          <c:h val="0.10012873390826145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Малые и средние предприятия</a:t>
            </a:r>
          </a:p>
        </c:rich>
      </c:tx>
      <c:overlay val="0"/>
    </c:title>
    <c:autoTitleDeleted val="0"/>
    <c:view3D>
      <c:rotX val="30"/>
      <c:rotY val="5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817474176084738E-4"/>
          <c:y val="0.11490674025056245"/>
          <c:w val="0.99963182525823913"/>
          <c:h val="0.88447622301995266"/>
        </c:manualLayout>
      </c:layout>
      <c:pie3DChart>
        <c:varyColors val="1"/>
        <c:ser>
          <c:idx val="0"/>
          <c:order val="0"/>
          <c:tx>
            <c:strRef>
              <c:f>Лист1!$C$1</c:f>
              <c:strCache>
                <c:ptCount val="1"/>
                <c:pt idx="0">
                  <c:v>кол-во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008962910548896"/>
                  <c:y val="-0.1427232045434339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4505874620581805"/>
                  <c:y val="6.10281459050092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Лист1!$B$2:$B$7</c:f>
              <c:strCache>
                <c:ptCount val="6"/>
                <c:pt idx="0">
                  <c:v>Оптовая и розничная торговля</c:v>
                </c:pt>
                <c:pt idx="1">
                  <c:v>Промышленность</c:v>
                </c:pt>
                <c:pt idx="2">
                  <c:v>Сельское хозяйство</c:v>
                </c:pt>
                <c:pt idx="3">
                  <c:v>Транспортировка и хранение</c:v>
                </c:pt>
                <c:pt idx="4">
                  <c:v>Строительство</c:v>
                </c:pt>
                <c:pt idx="5">
                  <c:v>Прочие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290</c:v>
                </c:pt>
                <c:pt idx="1">
                  <c:v>129</c:v>
                </c:pt>
                <c:pt idx="2">
                  <c:v>25</c:v>
                </c:pt>
                <c:pt idx="3">
                  <c:v>185</c:v>
                </c:pt>
                <c:pt idx="4">
                  <c:v>122</c:v>
                </c:pt>
                <c:pt idx="5">
                  <c:v>185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8.3134052687859768E-4"/>
          <c:y val="0.10754968128983877"/>
          <c:w val="0.98225115193934087"/>
          <c:h val="0.781134233220847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Объем инвестиций в основной капитал</c:v>
                </c:pt>
              </c:strCache>
            </c:strRef>
          </c:tx>
          <c:spPr>
            <a:gradFill flip="none" rotWithShape="1">
              <a:gsLst>
                <a:gs pos="0">
                  <a:schemeClr val="accent3">
                    <a:lumMod val="60000"/>
                    <a:lumOff val="40000"/>
                    <a:shade val="30000"/>
                    <a:satMod val="115000"/>
                  </a:schemeClr>
                </a:gs>
                <a:gs pos="50000">
                  <a:schemeClr val="accent3">
                    <a:lumMod val="60000"/>
                    <a:lumOff val="40000"/>
                    <a:shade val="67500"/>
                    <a:satMod val="115000"/>
                  </a:schemeClr>
                </a:gs>
                <a:gs pos="100000">
                  <a:schemeClr val="accent3">
                    <a:lumMod val="60000"/>
                    <a:lumOff val="40000"/>
                    <a:shade val="100000"/>
                    <a:satMod val="115000"/>
                  </a:schemeClr>
                </a:gs>
              </a:gsLst>
              <a:lin ang="16200000" scaled="1"/>
              <a:tileRect/>
            </a:gra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2023 отчет</c:v>
                </c:pt>
                <c:pt idx="1">
                  <c:v>2024 отчет</c:v>
                </c:pt>
                <c:pt idx="2">
                  <c:v>2025 оценка</c:v>
                </c:pt>
                <c:pt idx="3">
                  <c:v>2026 прогноз</c:v>
                </c:pt>
                <c:pt idx="4">
                  <c:v>2027 прогноз</c:v>
                </c:pt>
                <c:pt idx="5">
                  <c:v>2028 прогноз</c:v>
                </c:pt>
              </c:strCache>
            </c:strRef>
          </c:cat>
          <c:val>
            <c:numRef>
              <c:f>Лист1!$B$2:$G$2</c:f>
              <c:numCache>
                <c:formatCode>#,##0.0</c:formatCode>
                <c:ptCount val="6"/>
                <c:pt idx="0">
                  <c:v>4800.7700000000004</c:v>
                </c:pt>
                <c:pt idx="1">
                  <c:v>4316.58</c:v>
                </c:pt>
                <c:pt idx="2">
                  <c:v>4389.8599999999997</c:v>
                </c:pt>
                <c:pt idx="3">
                  <c:v>4430.51</c:v>
                </c:pt>
                <c:pt idx="4">
                  <c:v>4418.26</c:v>
                </c:pt>
                <c:pt idx="5">
                  <c:v>4573.49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86311808"/>
        <c:axId val="186313344"/>
      </c:barChart>
      <c:catAx>
        <c:axId val="186311808"/>
        <c:scaling>
          <c:orientation val="minMax"/>
        </c:scaling>
        <c:delete val="0"/>
        <c:axPos val="b"/>
        <c:majorTickMark val="out"/>
        <c:minorTickMark val="none"/>
        <c:tickLblPos val="nextTo"/>
        <c:crossAx val="186313344"/>
        <c:crosses val="autoZero"/>
        <c:auto val="1"/>
        <c:lblAlgn val="ctr"/>
        <c:lblOffset val="100"/>
        <c:noMultiLvlLbl val="0"/>
      </c:catAx>
      <c:valAx>
        <c:axId val="186313344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1863118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5.23015873015873E-2"/>
          <c:w val="1"/>
          <c:h val="0.79562210973628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Численность безработных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Лист1!$B$1:$G$1</c:f>
              <c:strCache>
                <c:ptCount val="6"/>
                <c:pt idx="0">
                  <c:v>2023 отчет</c:v>
                </c:pt>
                <c:pt idx="1">
                  <c:v>2024 отчет</c:v>
                </c:pt>
                <c:pt idx="2">
                  <c:v>2025 оценка</c:v>
                </c:pt>
                <c:pt idx="3">
                  <c:v>2026 прогноз</c:v>
                </c:pt>
                <c:pt idx="4">
                  <c:v>2027 прогноз</c:v>
                </c:pt>
                <c:pt idx="5">
                  <c:v>2028 прогноз</c:v>
                </c:pt>
              </c:strCache>
            </c:strRef>
          </c:cat>
          <c:val>
            <c:numRef>
              <c:f>Лист1!$B$2:$G$2</c:f>
              <c:numCache>
                <c:formatCode>#,##0</c:formatCode>
                <c:ptCount val="6"/>
                <c:pt idx="0">
                  <c:v>84</c:v>
                </c:pt>
                <c:pt idx="1">
                  <c:v>61</c:v>
                </c:pt>
                <c:pt idx="2">
                  <c:v>60</c:v>
                </c:pt>
                <c:pt idx="3">
                  <c:v>59</c:v>
                </c:pt>
                <c:pt idx="4">
                  <c:v>58</c:v>
                </c:pt>
                <c:pt idx="5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shape val="cylinder"/>
        <c:axId val="15338496"/>
        <c:axId val="15344384"/>
        <c:axId val="0"/>
      </c:bar3DChart>
      <c:catAx>
        <c:axId val="15338496"/>
        <c:scaling>
          <c:orientation val="minMax"/>
        </c:scaling>
        <c:delete val="0"/>
        <c:axPos val="b"/>
        <c:majorTickMark val="out"/>
        <c:minorTickMark val="none"/>
        <c:tickLblPos val="nextTo"/>
        <c:crossAx val="15344384"/>
        <c:crosses val="autoZero"/>
        <c:auto val="1"/>
        <c:lblAlgn val="ctr"/>
        <c:lblOffset val="100"/>
        <c:noMultiLvlLbl val="0"/>
      </c:catAx>
      <c:valAx>
        <c:axId val="1534438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53384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17</Pages>
  <Words>5238</Words>
  <Characters>29857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Ekonomika-01</dc:creator>
  <cp:keywords/>
  <dc:description/>
  <cp:lastModifiedBy>Ekonomika-01</cp:lastModifiedBy>
  <cp:revision>13</cp:revision>
  <cp:lastPrinted>2024-07-12T08:39:00Z</cp:lastPrinted>
  <dcterms:created xsi:type="dcterms:W3CDTF">2024-07-03T09:27:00Z</dcterms:created>
  <dcterms:modified xsi:type="dcterms:W3CDTF">2025-07-14T11:15:00Z</dcterms:modified>
</cp:coreProperties>
</file>