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F659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202</w:t>
      </w:r>
      <w:r w:rsidR="007C7025">
        <w:rPr>
          <w:rFonts w:ascii="Times New Roman" w:hAnsi="Times New Roman" w:cs="Times New Roman"/>
          <w:sz w:val="28"/>
          <w:szCs w:val="28"/>
        </w:rPr>
        <w:t>3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702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659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 xml:space="preserve"> 202</w:t>
      </w:r>
      <w:r w:rsidR="007C7025">
        <w:rPr>
          <w:rFonts w:ascii="Times New Roman" w:hAnsi="Times New Roman" w:cs="Times New Roman"/>
          <w:sz w:val="28"/>
          <w:szCs w:val="28"/>
        </w:rPr>
        <w:t>5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7C7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муниципальным</w:t>
      </w:r>
      <w:r w:rsidRPr="00F6595D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7C70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</w:t>
      </w:r>
      <w:r w:rsidR="007C7025">
        <w:rPr>
          <w:rFonts w:ascii="Times New Roman" w:hAnsi="Times New Roman" w:cs="Times New Roman"/>
          <w:sz w:val="28"/>
          <w:szCs w:val="28"/>
        </w:rPr>
        <w:t>–</w:t>
      </w:r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7C7025">
        <w:rPr>
          <w:rFonts w:ascii="Times New Roman" w:hAnsi="Times New Roman" w:cs="Times New Roman"/>
          <w:sz w:val="28"/>
          <w:szCs w:val="28"/>
        </w:rPr>
        <w:t>муниципальный долг</w:t>
      </w:r>
      <w:r w:rsidRPr="00F6595D">
        <w:rPr>
          <w:rFonts w:ascii="Times New Roman" w:hAnsi="Times New Roman" w:cs="Times New Roman"/>
          <w:sz w:val="28"/>
          <w:szCs w:val="28"/>
        </w:rPr>
        <w:t xml:space="preserve">) - это процесс выработки и осуществления стратегии, направленной на привлечение через долговые операции на рынке капитала необходимых для развития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заимствований, при соблюдении приемлемых уровней финансового риска и цены привлекаемых денежных средств.</w:t>
      </w:r>
    </w:p>
    <w:p w:rsidR="00083AAB" w:rsidRPr="00EF44D4" w:rsidRDefault="00083AAB" w:rsidP="007C70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ым долгом является одним из важнейших элементов финансовой политики </w:t>
      </w:r>
      <w:r w:rsidR="007C7025" w:rsidRP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долга, 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7C7025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гарантий </w:t>
      </w:r>
      <w:r w:rsidR="00EF44D4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(далее также - </w:t>
      </w:r>
      <w:r w:rsidR="007C7025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ые гарантии</w:t>
      </w:r>
      <w:proofErr w:type="gramEnd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эффективным использованием заимствованных средств.</w:t>
      </w:r>
    </w:p>
    <w:p w:rsidR="00083AAB" w:rsidRPr="00F6595D" w:rsidRDefault="007C7025" w:rsidP="007C7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ая долговая политика </w:t>
      </w:r>
      <w:r w:rsidR="00EE1C19" w:rsidRPr="00EE1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является частью бюджетной политики, проводимой Администрацией </w:t>
      </w:r>
      <w:r w:rsidR="00EE1C19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, и управление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>ым долгом непосредственно связано с бюджетным процессом.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2. Итоги реализации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>За последние 3 года динамика показателей долговой политики сложилась следующим образом:</w:t>
      </w:r>
      <w:proofErr w:type="gramEnd"/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423"/>
        <w:gridCol w:w="1418"/>
        <w:gridCol w:w="1417"/>
      </w:tblGrid>
      <w:tr w:rsidR="00F6595D" w:rsidRPr="00F6595D" w:rsidTr="00EE1C19">
        <w:tc>
          <w:tcPr>
            <w:tcW w:w="6016" w:type="dxa"/>
          </w:tcPr>
          <w:p w:rsidR="00083AAB" w:rsidRPr="00F6595D" w:rsidRDefault="00083AAB" w:rsidP="00EE1C19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3" w:type="dxa"/>
          </w:tcPr>
          <w:p w:rsidR="00083AAB" w:rsidRPr="00F6595D" w:rsidRDefault="00EE1C19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  <w:tc>
          <w:tcPr>
            <w:tcW w:w="1418" w:type="dxa"/>
          </w:tcPr>
          <w:p w:rsidR="00083AAB" w:rsidRPr="00F6595D" w:rsidRDefault="00083AAB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 w:rsidR="00EE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3AAB" w:rsidRPr="00F6595D" w:rsidRDefault="00083AAB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 w:rsidR="00EE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95D" w:rsidRPr="00F6595D" w:rsidTr="00EE1C19">
        <w:tc>
          <w:tcPr>
            <w:tcW w:w="6016" w:type="dxa"/>
          </w:tcPr>
          <w:p w:rsidR="00083AAB" w:rsidRPr="00F6595D" w:rsidRDefault="00083AAB" w:rsidP="00EE1C19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083AAB" w:rsidRPr="00F6595D" w:rsidRDefault="00083AAB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3AAB" w:rsidRPr="00F6595D" w:rsidRDefault="00083AAB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3AAB" w:rsidRPr="00F6595D" w:rsidRDefault="00083AAB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8DA" w:rsidRPr="00F6595D" w:rsidTr="00EE1C19">
        <w:tc>
          <w:tcPr>
            <w:tcW w:w="6016" w:type="dxa"/>
          </w:tcPr>
          <w:p w:rsidR="00BD48DA" w:rsidRPr="00F6595D" w:rsidRDefault="00BD48DA" w:rsidP="002237AA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ого долга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23" w:type="dxa"/>
          </w:tcPr>
          <w:p w:rsidR="00BD48DA" w:rsidRPr="00F6595D" w:rsidRDefault="00BD48DA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418" w:type="dxa"/>
          </w:tcPr>
          <w:p w:rsidR="00BD48DA" w:rsidRDefault="00BD48DA">
            <w:r w:rsidRPr="00D339FE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417" w:type="dxa"/>
          </w:tcPr>
          <w:p w:rsidR="00BD48DA" w:rsidRDefault="00BD48DA">
            <w:r w:rsidRPr="00D339FE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</w:tr>
      <w:tr w:rsidR="00D36E5C" w:rsidRPr="00F6595D" w:rsidTr="00EE1C19">
        <w:tc>
          <w:tcPr>
            <w:tcW w:w="6016" w:type="dxa"/>
          </w:tcPr>
          <w:p w:rsidR="00D36E5C" w:rsidRPr="00F6595D" w:rsidRDefault="00D36E5C" w:rsidP="007A2490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долговых обязательств по 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23" w:type="dxa"/>
          </w:tcPr>
          <w:p w:rsidR="00D36E5C" w:rsidRPr="00F6595D" w:rsidRDefault="00D36E5C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418" w:type="dxa"/>
          </w:tcPr>
          <w:p w:rsidR="00D36E5C" w:rsidRDefault="00D36E5C">
            <w:r w:rsidRPr="00D132FB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</w:tcPr>
          <w:p w:rsidR="00D36E5C" w:rsidRDefault="00D36E5C">
            <w:r w:rsidRPr="00D132FB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</w:tr>
      <w:tr w:rsidR="00F6595D" w:rsidRPr="00F6595D" w:rsidTr="00EE1C19">
        <w:tc>
          <w:tcPr>
            <w:tcW w:w="6016" w:type="dxa"/>
          </w:tcPr>
          <w:p w:rsidR="00083AAB" w:rsidRPr="00F6595D" w:rsidRDefault="00083AAB" w:rsidP="007A2490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7C70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ого долга в процентном соотношении от налоговых и неналоговых доходов </w:t>
            </w:r>
            <w:r w:rsidR="007A249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3" w:type="dxa"/>
          </w:tcPr>
          <w:p w:rsidR="00083AAB" w:rsidRPr="00F6595D" w:rsidRDefault="007121FF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83AAB" w:rsidRPr="00F6595D" w:rsidRDefault="00137653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</w:tcPr>
          <w:p w:rsidR="00083AAB" w:rsidRPr="00F6595D" w:rsidRDefault="00137653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F6595D" w:rsidRPr="00F6595D" w:rsidTr="00EE1C19">
        <w:tc>
          <w:tcPr>
            <w:tcW w:w="6016" w:type="dxa"/>
          </w:tcPr>
          <w:p w:rsidR="00083AAB" w:rsidRPr="00F6595D" w:rsidRDefault="00083AAB" w:rsidP="00BE6D2D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долговых обязательств по кредитам, полученным субъектом Российской Федерации от кредитных организаций, в процентном соотношении от налоговых и неналоговых доходов </w:t>
            </w:r>
            <w:r w:rsidR="00BE6D2D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3" w:type="dxa"/>
          </w:tcPr>
          <w:p w:rsidR="00083AAB" w:rsidRPr="00F6595D" w:rsidRDefault="00620157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083AAB" w:rsidRPr="00F6595D" w:rsidRDefault="00656CC3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083AAB" w:rsidRPr="00F6595D" w:rsidRDefault="00207065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 направления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25397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25397E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(далее также - долговые обязательства) состоит из следующих этапов: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расходов на обслуживание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и исполнение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гарантий Смоленской области;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привлечения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</w:t>
      </w:r>
      <w:r w:rsidR="002A503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2A5030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-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ые заимствования);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предоставления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гарантий</w:t>
      </w:r>
      <w:r w:rsidR="002A5030" w:rsidRPr="002A5030">
        <w:rPr>
          <w:rFonts w:ascii="Times New Roman" w:hAnsi="Times New Roman" w:cs="Times New Roman"/>
          <w:sz w:val="28"/>
          <w:szCs w:val="28"/>
        </w:rPr>
        <w:t xml:space="preserve"> </w:t>
      </w:r>
      <w:r w:rsidR="002A503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E4727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E4727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При планировании расходов на погашение и обслуживание долговых обязательств оценивается возможность осуществления д</w:t>
      </w:r>
      <w:r w:rsidR="00201DF3">
        <w:rPr>
          <w:rFonts w:ascii="Times New Roman" w:hAnsi="Times New Roman" w:cs="Times New Roman"/>
          <w:sz w:val="28"/>
          <w:szCs w:val="28"/>
        </w:rPr>
        <w:t>анных расходов за счет доходов 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</w:t>
      </w:r>
      <w:r w:rsidR="00953DB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53DB0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53DB0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53DB0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и принятии новых обязательств по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гарантиям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="00FD0090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поступлений от продажи акций и иных форм участия в капитале, </w:t>
      </w:r>
      <w:r w:rsidRPr="00F6595D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собственности Смоленской области;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расходов </w:t>
      </w:r>
      <w:r w:rsidR="00FD0090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бюджета, прогнозируемых на очередной финансовый год и плановый период;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потребности в бюджетных инвестициях, определяемой на основе приоритетов инвестиционной политики </w:t>
      </w:r>
      <w:r w:rsidR="00E255E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E255EE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E255EE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 w:rsidR="00E255E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E255EE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E255EE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255EE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определяет на очередной финансовый год и плановый период: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заимствований с учетом их влияния на долговую нагрузку;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предельный объем обязательств по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гарантиям;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структуру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7C7025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ые заимствования привлекаются на покрытие дефицита </w:t>
      </w:r>
      <w:r w:rsidR="0082237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 бюджета, а также на погашение долговых обязательств.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внутренних заимствований</w:t>
      </w:r>
      <w:r w:rsidR="009119BD" w:rsidRPr="009119BD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119BD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гарантий </w:t>
      </w:r>
      <w:r w:rsidR="009119BD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119BD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119BD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принимается Администрацией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A543B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6A543B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или органом </w:t>
      </w:r>
      <w:r w:rsidR="006A543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заимствования от имени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, на основании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внутренних заимствований </w:t>
      </w:r>
      <w:r w:rsidR="00BD68A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BD68A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BD68A6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D68A6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утвержденной областным законом об областном бюджете на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05500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05500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055006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55006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осуществляется в соответствии со следующими целями: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стабильное обслуживание долговых обязательств </w:t>
      </w:r>
      <w:r w:rsidR="0005500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05500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055006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прогнозирование и предотвращение рисков, связанных со структурой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равномерное распределение долговой нагрузки на </w:t>
      </w:r>
      <w:r w:rsidR="0076182D">
        <w:rPr>
          <w:rFonts w:ascii="Times New Roman" w:hAnsi="Times New Roman" w:cs="Times New Roman"/>
          <w:sz w:val="28"/>
          <w:szCs w:val="28"/>
        </w:rPr>
        <w:t>местный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совершенствование учета и мониторинга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В процессе управления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долгом приоритетными являются следующие задачи: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при недостаточности собственных источников финансирования дефицита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поэтапное сокращение объема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к объему доходов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снижение дефицита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в объемах, дополняющих доходы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до объема, необходимого для обеспечения исполнения принятых бюджетных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достижение эффективного и целевого использования заемных средств;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учет и регистрация долговых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обеспечение раскрытия информации 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ом долге.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Решение указанных задач направлено на достижение следующих результатов: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соблюдение ограничений, установленных Бюджетным </w:t>
      </w:r>
      <w:hyperlink r:id="rId7">
        <w:r w:rsidRPr="00F659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A3E7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соблюдение условий соглашений о предоставлении </w:t>
      </w:r>
      <w:r w:rsidR="00CA3E7D">
        <w:rPr>
          <w:rFonts w:ascii="Times New Roman" w:hAnsi="Times New Roman" w:cs="Times New Roman"/>
          <w:sz w:val="28"/>
          <w:szCs w:val="28"/>
        </w:rPr>
        <w:t>местному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бюджету из </w:t>
      </w:r>
      <w:r w:rsidR="00CA3E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6595D">
        <w:rPr>
          <w:rFonts w:ascii="Times New Roman" w:hAnsi="Times New Roman" w:cs="Times New Roman"/>
          <w:sz w:val="28"/>
          <w:szCs w:val="28"/>
        </w:rPr>
        <w:t>бюджета бюджетных кредитов</w:t>
      </w:r>
      <w:r w:rsidR="00CA3E7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211">
        <w:rPr>
          <w:rFonts w:ascii="Times New Roman" w:hAnsi="Times New Roman" w:cs="Times New Roman"/>
          <w:sz w:val="28"/>
          <w:szCs w:val="28"/>
        </w:rPr>
        <w:t>- обеспечение выполнения условий реструктуризации задолженности</w:t>
      </w:r>
      <w:r w:rsidR="00BE6BD2"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BE6BD2" w:rsidRPr="00EE0211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</w:t>
      </w:r>
      <w:r w:rsidRPr="00EE0211">
        <w:rPr>
          <w:rFonts w:ascii="Times New Roman" w:hAnsi="Times New Roman" w:cs="Times New Roman"/>
          <w:sz w:val="28"/>
          <w:szCs w:val="28"/>
        </w:rPr>
        <w:t xml:space="preserve">Смоленской области перед </w:t>
      </w:r>
      <w:r w:rsidR="00BE6BD2" w:rsidRPr="00EE0211">
        <w:rPr>
          <w:rFonts w:ascii="Times New Roman" w:hAnsi="Times New Roman" w:cs="Times New Roman"/>
          <w:sz w:val="28"/>
          <w:szCs w:val="28"/>
        </w:rPr>
        <w:t>Смоленской областью</w:t>
      </w:r>
      <w:r w:rsidRPr="00EE0211">
        <w:rPr>
          <w:rFonts w:ascii="Times New Roman" w:hAnsi="Times New Roman" w:cs="Times New Roman"/>
          <w:sz w:val="28"/>
          <w:szCs w:val="28"/>
        </w:rPr>
        <w:t xml:space="preserve"> по бюджетным кредитам, проведенной в соответствии с </w:t>
      </w:r>
      <w:hyperlink r:id="rId8">
        <w:r w:rsidRPr="00EE02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BA30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06A" w:rsidRPr="00EE0211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A306A">
        <w:rPr>
          <w:rFonts w:ascii="Times New Roman" w:hAnsi="Times New Roman" w:cs="Times New Roman"/>
          <w:sz w:val="28"/>
          <w:szCs w:val="28"/>
        </w:rPr>
        <w:t>и</w:t>
      </w:r>
      <w:r w:rsidRPr="00EE0211">
        <w:rPr>
          <w:rFonts w:ascii="Times New Roman" w:hAnsi="Times New Roman" w:cs="Times New Roman"/>
          <w:sz w:val="28"/>
          <w:szCs w:val="28"/>
        </w:rPr>
        <w:t xml:space="preserve"> от </w:t>
      </w:r>
      <w:r w:rsidR="00B14755">
        <w:rPr>
          <w:rFonts w:ascii="Times New Roman" w:hAnsi="Times New Roman" w:cs="Times New Roman"/>
          <w:sz w:val="28"/>
          <w:szCs w:val="28"/>
        </w:rPr>
        <w:t>01.09.2016 № 526</w:t>
      </w:r>
      <w:r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956A11">
        <w:rPr>
          <w:rFonts w:ascii="Times New Roman" w:hAnsi="Times New Roman" w:cs="Times New Roman"/>
          <w:sz w:val="28"/>
          <w:szCs w:val="28"/>
        </w:rPr>
        <w:t>«</w:t>
      </w:r>
      <w:r w:rsidR="00956A11" w:rsidRPr="00956A1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в 2016 году реструктуризации обязательств (задолженности) по соглашениям о реструктуризации обязательств (задолженности) </w:t>
      </w:r>
      <w:r w:rsidR="00956A11" w:rsidRPr="00956A11">
        <w:rPr>
          <w:rFonts w:ascii="Times New Roman" w:hAnsi="Times New Roman" w:cs="Times New Roman"/>
          <w:sz w:val="28"/>
          <w:szCs w:val="28"/>
        </w:rPr>
        <w:lastRenderedPageBreak/>
        <w:t>по бюджетным кредитам, предоставленным в 2010 - 2012 годах бюджетам муниципальных образований Смоленской области для частичного покрытия</w:t>
      </w:r>
      <w:proofErr w:type="gramEnd"/>
      <w:r w:rsidR="00956A11" w:rsidRPr="00956A11">
        <w:rPr>
          <w:rFonts w:ascii="Times New Roman" w:hAnsi="Times New Roman" w:cs="Times New Roman"/>
          <w:sz w:val="28"/>
          <w:szCs w:val="28"/>
        </w:rPr>
        <w:t xml:space="preserve"> дефицитов местных бюджетов</w:t>
      </w:r>
      <w:r w:rsidR="00956A11">
        <w:rPr>
          <w:rFonts w:ascii="Times New Roman" w:hAnsi="Times New Roman" w:cs="Times New Roman"/>
          <w:sz w:val="28"/>
          <w:szCs w:val="28"/>
        </w:rPr>
        <w:t>»</w:t>
      </w:r>
      <w:r w:rsidRPr="00EE0211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сокращение стоимости обслуживания долговых обязательств.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Выполнению поставленных задач будут способствовать: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основных направлений бюджетной и налоговой политики </w:t>
      </w:r>
      <w:r w:rsidR="005B7015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B7015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5B7015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7015"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BA057F" w:rsidRDefault="00BA057F" w:rsidP="00BA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D7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9">
        <w:r w:rsidRPr="00F65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 xml:space="preserve">«Управление муниципальным долгом </w:t>
      </w:r>
      <w:r w:rsidR="00D737B5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муниципального образования</w:t>
      </w:r>
      <w:r w:rsidR="00BA057F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BA057F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на 2021 - 2023 годы»</w:t>
      </w:r>
      <w:r w:rsidRPr="00F6595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BA057F">
        <w:rPr>
          <w:rFonts w:ascii="Times New Roman" w:hAnsi="Times New Roman" w:cs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муниципального</w:t>
      </w:r>
      <w:r w:rsidR="00BA057F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образования</w:t>
      </w:r>
      <w:r w:rsidR="00BA057F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BA057F">
        <w:rPr>
          <w:rFonts w:ascii="Times New Roman" w:hAnsi="Times New Roman"/>
          <w:sz w:val="28"/>
          <w:szCs w:val="28"/>
        </w:rPr>
        <w:t xml:space="preserve">  </w:t>
      </w:r>
      <w:r w:rsidRPr="00F6595D">
        <w:rPr>
          <w:rFonts w:ascii="Times New Roman" w:hAnsi="Times New Roman" w:cs="Times New Roman"/>
          <w:sz w:val="28"/>
          <w:szCs w:val="28"/>
        </w:rPr>
        <w:t>от 2</w:t>
      </w:r>
      <w:r w:rsidR="00BA057F">
        <w:rPr>
          <w:rFonts w:ascii="Times New Roman" w:hAnsi="Times New Roman" w:cs="Times New Roman"/>
          <w:sz w:val="28"/>
          <w:szCs w:val="28"/>
        </w:rPr>
        <w:t>7</w:t>
      </w:r>
      <w:r w:rsidRPr="00F6595D">
        <w:rPr>
          <w:rFonts w:ascii="Times New Roman" w:hAnsi="Times New Roman" w:cs="Times New Roman"/>
          <w:sz w:val="28"/>
          <w:szCs w:val="28"/>
        </w:rPr>
        <w:t>.10.20</w:t>
      </w:r>
      <w:r w:rsidR="00BA057F">
        <w:rPr>
          <w:rFonts w:ascii="Times New Roman" w:hAnsi="Times New Roman" w:cs="Times New Roman"/>
          <w:sz w:val="28"/>
          <w:szCs w:val="28"/>
        </w:rPr>
        <w:t>20 № 1387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  <w:r w:rsidR="00770D4F" w:rsidRPr="00770D4F">
        <w:rPr>
          <w:rFonts w:ascii="Times New Roman" w:hAnsi="Times New Roman"/>
          <w:sz w:val="28"/>
          <w:szCs w:val="28"/>
        </w:rPr>
        <w:t xml:space="preserve"> 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hyperlink r:id="rId10">
        <w:r w:rsidRPr="00F6595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в целях оздоровления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финансов </w:t>
      </w:r>
      <w:r w:rsidR="005605C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605C0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период до 2024 года</w:t>
      </w:r>
      <w:r w:rsidR="005605C0">
        <w:rPr>
          <w:rFonts w:ascii="Times New Roman" w:hAnsi="Times New Roman" w:cs="Times New Roman"/>
          <w:sz w:val="28"/>
          <w:szCs w:val="28"/>
        </w:rPr>
        <w:t>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55426F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5426F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определены критерии оценки реализации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55426F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5426F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2022 год и на плановый период 2023 и 2024 годов (далее также - критерии оценки).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долговой политики Смоленской области заключается в анализе соответствия текущих значений критериев оценки значениям критериев оценки.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Критерии оценки реализации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долговой политики</w:t>
      </w: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2022 год и на плановый период</w:t>
      </w: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2023 и 2024 годов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80"/>
        <w:gridCol w:w="1418"/>
        <w:gridCol w:w="1559"/>
        <w:gridCol w:w="1560"/>
      </w:tblGrid>
      <w:tr w:rsidR="00F6595D" w:rsidRPr="00F6595D" w:rsidTr="0088150B">
        <w:tc>
          <w:tcPr>
            <w:tcW w:w="4252" w:type="dxa"/>
          </w:tcPr>
          <w:p w:rsidR="00083AAB" w:rsidRPr="00F6595D" w:rsidRDefault="00083AAB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0" w:type="dxa"/>
          </w:tcPr>
          <w:p w:rsidR="00083AAB" w:rsidRPr="00F6595D" w:rsidRDefault="00083AAB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01.01.2022</w:t>
            </w:r>
          </w:p>
        </w:tc>
        <w:tc>
          <w:tcPr>
            <w:tcW w:w="1418" w:type="dxa"/>
          </w:tcPr>
          <w:p w:rsidR="00083AAB" w:rsidRPr="00F6595D" w:rsidRDefault="00083AAB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01.01.2023</w:t>
            </w:r>
          </w:p>
        </w:tc>
        <w:tc>
          <w:tcPr>
            <w:tcW w:w="1559" w:type="dxa"/>
          </w:tcPr>
          <w:p w:rsidR="00083AAB" w:rsidRPr="00F6595D" w:rsidRDefault="00083AAB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01.01.2024</w:t>
            </w:r>
          </w:p>
        </w:tc>
        <w:tc>
          <w:tcPr>
            <w:tcW w:w="1560" w:type="dxa"/>
          </w:tcPr>
          <w:p w:rsidR="00083AAB" w:rsidRPr="00F6595D" w:rsidRDefault="00083AAB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01.01.2025</w:t>
            </w:r>
          </w:p>
        </w:tc>
      </w:tr>
      <w:tr w:rsidR="0005409C" w:rsidRPr="00F6595D" w:rsidTr="0088150B">
        <w:tc>
          <w:tcPr>
            <w:tcW w:w="4252" w:type="dxa"/>
          </w:tcPr>
          <w:p w:rsidR="0005409C" w:rsidRPr="00F6595D" w:rsidRDefault="0005409C" w:rsidP="00DF774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ого долга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80" w:type="dxa"/>
          </w:tcPr>
          <w:p w:rsidR="0005409C" w:rsidRPr="00F6595D" w:rsidRDefault="0005409C" w:rsidP="002F5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418" w:type="dxa"/>
          </w:tcPr>
          <w:p w:rsidR="0005409C" w:rsidRDefault="0005409C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59" w:type="dxa"/>
          </w:tcPr>
          <w:p w:rsidR="0005409C" w:rsidRDefault="0005409C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60" w:type="dxa"/>
          </w:tcPr>
          <w:p w:rsidR="0005409C" w:rsidRDefault="0005409C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</w:tr>
      <w:tr w:rsidR="00A76EA8" w:rsidRPr="00F6595D" w:rsidTr="0088150B">
        <w:tc>
          <w:tcPr>
            <w:tcW w:w="4252" w:type="dxa"/>
          </w:tcPr>
          <w:p w:rsidR="00A76EA8" w:rsidRPr="00F6595D" w:rsidRDefault="00A76EA8" w:rsidP="00DB7E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долговых обязательств по 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80" w:type="dxa"/>
          </w:tcPr>
          <w:p w:rsidR="00A76EA8" w:rsidRPr="00F6595D" w:rsidRDefault="00E420D4" w:rsidP="003D6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</w:t>
            </w:r>
            <w:r w:rsidR="00A76E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76EA8" w:rsidRDefault="00A76EA8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76EA8" w:rsidRDefault="00A76EA8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A76EA8" w:rsidRDefault="00A76EA8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95D" w:rsidRPr="00F6595D" w:rsidTr="0088150B">
        <w:tc>
          <w:tcPr>
            <w:tcW w:w="4252" w:type="dxa"/>
          </w:tcPr>
          <w:p w:rsidR="00083AAB" w:rsidRPr="00F6595D" w:rsidRDefault="00083AAB" w:rsidP="00F659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="007C70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ого долга в процентном соотношении от налоговых и неналоговых доходов </w:t>
            </w:r>
            <w:r w:rsidR="00CA3E7D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80" w:type="dxa"/>
          </w:tcPr>
          <w:p w:rsidR="00083AAB" w:rsidRPr="00F6595D" w:rsidRDefault="00083AAB" w:rsidP="004D3A8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D3A8C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083AAB" w:rsidRPr="00F6595D" w:rsidRDefault="00083AAB" w:rsidP="005C27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277E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083AAB" w:rsidRPr="00F6595D" w:rsidRDefault="00083AAB" w:rsidP="00FF66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F663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60" w:type="dxa"/>
          </w:tcPr>
          <w:p w:rsidR="00083AAB" w:rsidRPr="00F6595D" w:rsidRDefault="00083AAB" w:rsidP="00FF66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F663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</w:tbl>
    <w:p w:rsidR="00D42514" w:rsidRDefault="00D42514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5. Инструменты реализации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Долговая политика реализуется посредством: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рыночных инструментов (кредиты, привлеченные от кредитных организаций);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нерыночных инструментов (бюджетные кредиты, привлекаемые из бюджета</w:t>
      </w:r>
      <w:r w:rsidR="000744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).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Привлечение кредитных ресурсов планируется осуществлять с учетом складывающейся на рынке конъюнктуры, что позволит в случае нехватки бюджетных сре</w:t>
      </w:r>
      <w:proofErr w:type="gramStart"/>
      <w:r w:rsidRPr="00F659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 xml:space="preserve">ивлекать и погашать кредитные ресурсы в кратчайшие сроки, а также обеспечит экономию бюджетных средств на обслуживании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осуществляет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ую долговую политику направленную: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lastRenderedPageBreak/>
        <w:t xml:space="preserve">- на снижение уровня долговой нагрузки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на повышение качества прогнозирования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внутренних заимствований, параметров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 и расходов на его обслуживание для решения поставленных социально-экономических задач;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на планирование объемов заимствований, достаточных для обеспечения финансовой устойчивости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на осуществление контроля рисков неисполнения долговых обязательств в зависимости от факторов, влияющих на их изменение.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6. Анализ рисков для бюджета, возникающих в процессе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долгом</w:t>
      </w:r>
      <w:r w:rsidR="00516686" w:rsidRPr="00516686">
        <w:rPr>
          <w:rFonts w:ascii="Times New Roman" w:hAnsi="Times New Roman" w:cs="Times New Roman"/>
          <w:sz w:val="28"/>
          <w:szCs w:val="28"/>
        </w:rPr>
        <w:t xml:space="preserve"> </w:t>
      </w:r>
      <w:r w:rsidR="0051668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1668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Финансовые риски представляют собой возможность финансовых потерь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Для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возможны следующие финансовые риски: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рыночный риск - отрицательное влияние повышения процентных ставок;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риск рефинансирования - отсутствие рефинансирования или его возможность только по высоким процентным ставкам;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в </w:t>
      </w:r>
      <w:r w:rsidR="00EF1692">
        <w:rPr>
          <w:rFonts w:ascii="Times New Roman" w:hAnsi="Times New Roman" w:cs="Times New Roman"/>
          <w:sz w:val="28"/>
          <w:szCs w:val="28"/>
        </w:rPr>
        <w:t>местном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бюджете сре</w:t>
      </w:r>
      <w:proofErr w:type="gramStart"/>
      <w:r w:rsidRPr="00F659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EF1692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юридические риски - изменение федерального законодательства, необходимость отстаивания своих интересов в судебных инстанциях</w:t>
      </w:r>
      <w:r w:rsidR="00EF1692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операционный риск - технические сбои, чрезвычайные ситуации, обстоятельства непреодолимой силы.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К финансовым рискам, возникновение которых зависит от деятельности Администрации </w:t>
      </w:r>
      <w:r w:rsidR="0051668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16686" w:rsidRPr="006E47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6595D">
        <w:rPr>
          <w:rFonts w:ascii="Times New Roman" w:hAnsi="Times New Roman" w:cs="Times New Roman"/>
          <w:sz w:val="28"/>
          <w:szCs w:val="28"/>
        </w:rPr>
        <w:t>Смоленской области и которые могут быть уменьшены ее действиями, относятся: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рыночный риск - постоянная работа по изменению структуры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риск ликвидности - повышение качества бюджетного планирования</w:t>
      </w:r>
      <w:r w:rsidR="00D45BF9">
        <w:rPr>
          <w:rFonts w:ascii="Times New Roman" w:hAnsi="Times New Roman" w:cs="Times New Roman"/>
          <w:sz w:val="28"/>
          <w:szCs w:val="28"/>
        </w:rPr>
        <w:t>.</w:t>
      </w:r>
    </w:p>
    <w:p w:rsidR="007C7025" w:rsidRPr="00F6595D" w:rsidRDefault="007C7025" w:rsidP="00F6595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7025" w:rsidRPr="00F6595D" w:rsidSect="00F6595D">
      <w:head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15" w:rsidRDefault="00772599">
      <w:pPr>
        <w:spacing w:after="0" w:line="240" w:lineRule="auto"/>
      </w:pPr>
      <w:r>
        <w:separator/>
      </w:r>
    </w:p>
  </w:endnote>
  <w:endnote w:type="continuationSeparator" w:id="0">
    <w:p w:rsidR="00444315" w:rsidRDefault="0077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15" w:rsidRDefault="00772599">
      <w:pPr>
        <w:spacing w:after="0" w:line="240" w:lineRule="auto"/>
      </w:pPr>
      <w:r>
        <w:separator/>
      </w:r>
    </w:p>
  </w:footnote>
  <w:footnote w:type="continuationSeparator" w:id="0">
    <w:p w:rsidR="00444315" w:rsidRDefault="0077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5" w:rsidRDefault="007C7025">
    <w:pPr>
      <w:pStyle w:val="a3"/>
      <w:jc w:val="center"/>
    </w:pPr>
    <w:r w:rsidRPr="00B06D06">
      <w:rPr>
        <w:rFonts w:ascii="Times New Roman" w:hAnsi="Times New Roman" w:cs="Times New Roman"/>
        <w:sz w:val="24"/>
        <w:szCs w:val="24"/>
      </w:rPr>
      <w:fldChar w:fldCharType="begin"/>
    </w:r>
    <w:r w:rsidRPr="00B06D06">
      <w:rPr>
        <w:rFonts w:ascii="Times New Roman" w:hAnsi="Times New Roman" w:cs="Times New Roman"/>
        <w:sz w:val="24"/>
        <w:szCs w:val="24"/>
      </w:rPr>
      <w:instrText>PAGE   \* MERGEFORMAT</w:instrText>
    </w:r>
    <w:r w:rsidRPr="00B06D06">
      <w:rPr>
        <w:rFonts w:ascii="Times New Roman" w:hAnsi="Times New Roman" w:cs="Times New Roman"/>
        <w:sz w:val="24"/>
        <w:szCs w:val="24"/>
      </w:rPr>
      <w:fldChar w:fldCharType="separate"/>
    </w:r>
    <w:r w:rsidR="00516686">
      <w:rPr>
        <w:rFonts w:ascii="Times New Roman" w:hAnsi="Times New Roman" w:cs="Times New Roman"/>
        <w:noProof/>
        <w:sz w:val="24"/>
        <w:szCs w:val="24"/>
      </w:rPr>
      <w:t>7</w:t>
    </w:r>
    <w:r w:rsidRPr="00B06D06">
      <w:rPr>
        <w:rFonts w:ascii="Times New Roman" w:hAnsi="Times New Roman" w:cs="Times New Roman"/>
        <w:sz w:val="24"/>
        <w:szCs w:val="24"/>
      </w:rPr>
      <w:fldChar w:fldCharType="end"/>
    </w:r>
  </w:p>
  <w:p w:rsidR="007C7025" w:rsidRDefault="007C7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B"/>
    <w:rsid w:val="0002646C"/>
    <w:rsid w:val="0005409C"/>
    <w:rsid w:val="00055006"/>
    <w:rsid w:val="00074407"/>
    <w:rsid w:val="00083AAB"/>
    <w:rsid w:val="000A3FE4"/>
    <w:rsid w:val="000D5398"/>
    <w:rsid w:val="00137653"/>
    <w:rsid w:val="00161965"/>
    <w:rsid w:val="00201DF3"/>
    <w:rsid w:val="00207065"/>
    <w:rsid w:val="002237AA"/>
    <w:rsid w:val="00233EBA"/>
    <w:rsid w:val="0025397E"/>
    <w:rsid w:val="00296272"/>
    <w:rsid w:val="002A5030"/>
    <w:rsid w:val="002F5592"/>
    <w:rsid w:val="00362CBB"/>
    <w:rsid w:val="003732CC"/>
    <w:rsid w:val="003A5783"/>
    <w:rsid w:val="003D6CF1"/>
    <w:rsid w:val="00444315"/>
    <w:rsid w:val="00467F45"/>
    <w:rsid w:val="00494A8F"/>
    <w:rsid w:val="004D3A8C"/>
    <w:rsid w:val="00516686"/>
    <w:rsid w:val="0055426F"/>
    <w:rsid w:val="00554478"/>
    <w:rsid w:val="005605C0"/>
    <w:rsid w:val="005B7015"/>
    <w:rsid w:val="005C1A1A"/>
    <w:rsid w:val="005C277E"/>
    <w:rsid w:val="00620157"/>
    <w:rsid w:val="00656CC3"/>
    <w:rsid w:val="00657048"/>
    <w:rsid w:val="006A543B"/>
    <w:rsid w:val="006C62A9"/>
    <w:rsid w:val="006E4727"/>
    <w:rsid w:val="007121FF"/>
    <w:rsid w:val="00755415"/>
    <w:rsid w:val="0076182D"/>
    <w:rsid w:val="00770D4F"/>
    <w:rsid w:val="00772599"/>
    <w:rsid w:val="007A2490"/>
    <w:rsid w:val="007B0BE9"/>
    <w:rsid w:val="007C37A6"/>
    <w:rsid w:val="007C7025"/>
    <w:rsid w:val="007E3533"/>
    <w:rsid w:val="0082237E"/>
    <w:rsid w:val="00826157"/>
    <w:rsid w:val="0082748A"/>
    <w:rsid w:val="0088150B"/>
    <w:rsid w:val="008825B8"/>
    <w:rsid w:val="009046E1"/>
    <w:rsid w:val="009119BD"/>
    <w:rsid w:val="00953DB0"/>
    <w:rsid w:val="00956A11"/>
    <w:rsid w:val="0096154F"/>
    <w:rsid w:val="009729B8"/>
    <w:rsid w:val="009764AA"/>
    <w:rsid w:val="00A11539"/>
    <w:rsid w:val="00A23CB3"/>
    <w:rsid w:val="00A76EA8"/>
    <w:rsid w:val="00AB50B8"/>
    <w:rsid w:val="00B14755"/>
    <w:rsid w:val="00B56093"/>
    <w:rsid w:val="00BA057F"/>
    <w:rsid w:val="00BA306A"/>
    <w:rsid w:val="00BC3DF0"/>
    <w:rsid w:val="00BD48DA"/>
    <w:rsid w:val="00BD68A6"/>
    <w:rsid w:val="00BE0ED8"/>
    <w:rsid w:val="00BE6BD2"/>
    <w:rsid w:val="00BE6D2D"/>
    <w:rsid w:val="00C43A55"/>
    <w:rsid w:val="00CA3E7D"/>
    <w:rsid w:val="00CC65EF"/>
    <w:rsid w:val="00D03F89"/>
    <w:rsid w:val="00D36E5C"/>
    <w:rsid w:val="00D42514"/>
    <w:rsid w:val="00D45BF9"/>
    <w:rsid w:val="00D57156"/>
    <w:rsid w:val="00D737B5"/>
    <w:rsid w:val="00DB7EF9"/>
    <w:rsid w:val="00DE7F5C"/>
    <w:rsid w:val="00DF774C"/>
    <w:rsid w:val="00E21990"/>
    <w:rsid w:val="00E255EE"/>
    <w:rsid w:val="00E420D4"/>
    <w:rsid w:val="00E5156D"/>
    <w:rsid w:val="00EC464D"/>
    <w:rsid w:val="00EE0211"/>
    <w:rsid w:val="00EE1C19"/>
    <w:rsid w:val="00EF1692"/>
    <w:rsid w:val="00EF44D4"/>
    <w:rsid w:val="00EF5815"/>
    <w:rsid w:val="00F6595D"/>
    <w:rsid w:val="00FC284B"/>
    <w:rsid w:val="00FD009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3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025"/>
  </w:style>
  <w:style w:type="paragraph" w:styleId="a5">
    <w:name w:val="Balloon Text"/>
    <w:basedOn w:val="a"/>
    <w:link w:val="a6"/>
    <w:uiPriority w:val="99"/>
    <w:semiHidden/>
    <w:unhideWhenUsed/>
    <w:rsid w:val="004D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3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025"/>
  </w:style>
  <w:style w:type="paragraph" w:styleId="a5">
    <w:name w:val="Balloon Text"/>
    <w:basedOn w:val="a"/>
    <w:link w:val="a6"/>
    <w:uiPriority w:val="99"/>
    <w:semiHidden/>
    <w:unhideWhenUsed/>
    <w:rsid w:val="004D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D41C2CDDE80DF2FFFB01B64B488BB5E2813935461CC72777AAC1CCC89iBO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1B412E933AE774C49B38A22DBD8220D41C7CED986DF2FFFB01B64B488BB5E2813935461CC72777AAC1CCC89iBO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11B412E933AE774C49AD8734B785280F489BC2D987D478AAE21D33EBD8BD0B7A53CD0D228F61777BB21ECD83B72044250A36AACF8A4F60CC7680DCi1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1B412E933AE774C49AD8734B785280F489BC2D986DD71AAE31D33EBD8BD0B7A53CD0D228F617570E64F88DEB174127F5E3AB4CA944Ci6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102</cp:revision>
  <cp:lastPrinted>2022-11-07T14:24:00Z</cp:lastPrinted>
  <dcterms:created xsi:type="dcterms:W3CDTF">2022-11-07T13:23:00Z</dcterms:created>
  <dcterms:modified xsi:type="dcterms:W3CDTF">2022-11-07T14:38:00Z</dcterms:modified>
</cp:coreProperties>
</file>